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topLinePunct w:val="0"/>
        <w:autoSpaceDE w:val="0"/>
        <w:autoSpaceDN w:val="0"/>
        <w:bidi w:val="0"/>
        <w:adjustRightInd w:val="0"/>
        <w:spacing w:line="576" w:lineRule="exact"/>
        <w:ind w:left="0" w:right="0" w:firstLine="0" w:firstLineChars="0"/>
        <w:jc w:val="both"/>
        <w:textAlignment w:val="baseline"/>
        <w:rPr>
          <w:rFonts w:ascii="黑体" w:hAnsi="黑体" w:eastAsia="黑体" w:cs="黑体"/>
          <w:spacing w:val="0"/>
          <w:sz w:val="32"/>
          <w:szCs w:val="32"/>
        </w:rPr>
      </w:pPr>
      <w:r>
        <w:rPr>
          <w:rFonts w:ascii="黑体" w:hAnsi="黑体" w:eastAsia="黑体" w:cs="黑体"/>
          <w:spacing w:val="0"/>
          <w:sz w:val="32"/>
          <w:szCs w:val="32"/>
        </w:rPr>
        <w:t>附件2</w:t>
      </w:r>
    </w:p>
    <w:p>
      <w:pPr>
        <w:keepNext w:val="0"/>
        <w:keepLines w:val="0"/>
        <w:pageBreakBefore w:val="0"/>
        <w:kinsoku w:val="0"/>
        <w:wordWrap/>
        <w:overflowPunct/>
        <w:topLinePunct w:val="0"/>
        <w:autoSpaceDE w:val="0"/>
        <w:autoSpaceDN w:val="0"/>
        <w:bidi w:val="0"/>
        <w:adjustRightInd w:val="0"/>
        <w:spacing w:line="576" w:lineRule="exact"/>
        <w:ind w:left="0" w:right="0" w:firstLine="0" w:firstLineChars="0"/>
        <w:jc w:val="both"/>
        <w:textAlignment w:val="baseline"/>
        <w:rPr>
          <w:rFonts w:hint="eastAsia" w:ascii="黑体" w:hAnsi="黑体" w:eastAsia="黑体" w:cs="黑体"/>
          <w:spacing w:val="0"/>
          <w:sz w:val="21"/>
          <w:szCs w:val="32"/>
        </w:rPr>
      </w:pPr>
    </w:p>
    <w:p>
      <w:pPr>
        <w:keepNext w:val="0"/>
        <w:keepLines w:val="0"/>
        <w:pageBreakBefore w:val="0"/>
        <w:kinsoku w:val="0"/>
        <w:wordWrap/>
        <w:overflowPunct/>
        <w:topLinePunct w:val="0"/>
        <w:autoSpaceDE w:val="0"/>
        <w:autoSpaceDN w:val="0"/>
        <w:bidi w:val="0"/>
        <w:adjustRightInd w:val="0"/>
        <w:spacing w:line="576" w:lineRule="exact"/>
        <w:ind w:left="0" w:right="0" w:firstLine="0" w:firstLineChars="0"/>
        <w:jc w:val="center"/>
        <w:textAlignment w:val="baseline"/>
        <w:outlineLvl w:val="0"/>
        <w:rPr>
          <w:rFonts w:hint="eastAsia" w:ascii="方正小标宋简体" w:hAnsi="方正小标宋简体" w:eastAsia="方正小标宋简体" w:cs="方正小标宋简体"/>
          <w:spacing w:val="0"/>
          <w:sz w:val="43"/>
          <w:szCs w:val="32"/>
          <w:lang w:eastAsia="zh-CN"/>
        </w:rPr>
      </w:pPr>
      <w:bookmarkStart w:id="0" w:name="_GoBack"/>
      <w:r>
        <w:rPr>
          <w:rFonts w:hint="eastAsia" w:ascii="方正小标宋简体" w:hAnsi="方正小标宋简体" w:eastAsia="方正小标宋简体" w:cs="方正小标宋简体"/>
          <w:spacing w:val="0"/>
          <w:sz w:val="43"/>
          <w:szCs w:val="32"/>
          <w:lang w:eastAsia="zh-CN"/>
        </w:rPr>
        <w:t>沁源县</w:t>
      </w:r>
      <w:r>
        <w:rPr>
          <w:rFonts w:ascii="方正小标宋简体" w:hAnsi="方正小标宋简体" w:eastAsia="方正小标宋简体" w:cs="方正小标宋简体"/>
          <w:spacing w:val="0"/>
          <w:sz w:val="43"/>
          <w:szCs w:val="32"/>
        </w:rPr>
        <w:t>标准化乡镇卫生院建设行动</w:t>
      </w:r>
      <w:r>
        <w:rPr>
          <w:rFonts w:hint="eastAsia" w:ascii="方正小标宋简体" w:hAnsi="方正小标宋简体" w:eastAsia="方正小标宋简体" w:cs="方正小标宋简体"/>
          <w:spacing w:val="0"/>
          <w:sz w:val="43"/>
          <w:szCs w:val="32"/>
          <w:lang w:eastAsia="zh-CN"/>
        </w:rPr>
        <w:t>目标</w:t>
      </w:r>
    </w:p>
    <w:bookmarkEnd w:id="0"/>
    <w:p>
      <w:pPr>
        <w:pStyle w:val="3"/>
        <w:keepNext w:val="0"/>
        <w:keepLines w:val="0"/>
        <w:pageBreakBefore w:val="0"/>
        <w:kinsoku w:val="0"/>
        <w:wordWrap/>
        <w:overflowPunct/>
        <w:topLinePunct w:val="0"/>
        <w:autoSpaceDE w:val="0"/>
        <w:autoSpaceDN w:val="0"/>
        <w:bidi w:val="0"/>
        <w:adjustRightInd w:val="0"/>
        <w:spacing w:line="576" w:lineRule="exact"/>
        <w:ind w:left="0" w:right="0" w:firstLine="0" w:firstLineChars="0"/>
        <w:jc w:val="both"/>
        <w:textAlignment w:val="baseline"/>
        <w:rPr>
          <w:spacing w:val="0"/>
          <w:szCs w:val="32"/>
        </w:rPr>
      </w:pP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按照示范引领、整体提升原则，到2028年，</w:t>
      </w:r>
      <w:r>
        <w:rPr>
          <w:rFonts w:hint="eastAsia" w:ascii="仿宋_GB2312" w:hAnsi="仿宋_GB2312" w:eastAsia="仿宋_GB2312" w:cs="仿宋_GB2312"/>
          <w:spacing w:val="0"/>
          <w:sz w:val="32"/>
          <w:szCs w:val="32"/>
          <w:lang w:eastAsia="zh-CN"/>
        </w:rPr>
        <w:t>全县</w:t>
      </w:r>
      <w:r>
        <w:rPr>
          <w:rFonts w:hint="eastAsia" w:ascii="仿宋_GB2312" w:hAnsi="仿宋_GB2312" w:eastAsia="仿宋_GB2312" w:cs="仿宋_GB2312"/>
          <w:spacing w:val="0"/>
          <w:sz w:val="32"/>
          <w:szCs w:val="32"/>
          <w:lang w:val="en-US" w:eastAsia="zh-CN"/>
        </w:rPr>
        <w:t>13所</w:t>
      </w:r>
      <w:r>
        <w:rPr>
          <w:rFonts w:hint="eastAsia" w:ascii="仿宋_GB2312" w:hAnsi="仿宋_GB2312" w:eastAsia="仿宋_GB2312" w:cs="仿宋_GB2312"/>
          <w:spacing w:val="0"/>
          <w:sz w:val="32"/>
          <w:szCs w:val="32"/>
        </w:rPr>
        <w:t>乡镇卫生院全部达到国家能力标准，30%的乡镇卫生院达到国家“优质服务基层行”推荐标准，15%的乡镇卫生院建成县域医疗卫生服务次中心。</w:t>
      </w: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lang w:eastAsia="zh-CN"/>
        </w:rPr>
        <w:t>一、</w:t>
      </w:r>
      <w:r>
        <w:rPr>
          <w:rFonts w:hint="eastAsia" w:ascii="黑体" w:hAnsi="黑体" w:eastAsia="黑体" w:cs="黑体"/>
          <w:spacing w:val="0"/>
          <w:sz w:val="32"/>
          <w:szCs w:val="32"/>
        </w:rPr>
        <w:t>乡镇卫生院基础能力提标行动</w:t>
      </w: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2026年-2028年，在</w:t>
      </w:r>
      <w:r>
        <w:rPr>
          <w:rFonts w:hint="eastAsia" w:ascii="仿宋_GB2312" w:hAnsi="仿宋_GB2312" w:eastAsia="仿宋_GB2312" w:cs="仿宋_GB2312"/>
          <w:spacing w:val="0"/>
          <w:sz w:val="32"/>
          <w:szCs w:val="32"/>
          <w:lang w:eastAsia="zh-CN"/>
        </w:rPr>
        <w:t>我县</w:t>
      </w:r>
      <w:r>
        <w:rPr>
          <w:rFonts w:hint="eastAsia" w:ascii="仿宋_GB2312" w:hAnsi="仿宋_GB2312" w:eastAsia="仿宋_GB2312" w:cs="仿宋_GB2312"/>
          <w:spacing w:val="0"/>
          <w:sz w:val="32"/>
          <w:szCs w:val="32"/>
          <w:lang w:val="en-US" w:eastAsia="zh-CN"/>
        </w:rPr>
        <w:t>13所</w:t>
      </w:r>
      <w:r>
        <w:rPr>
          <w:rFonts w:hint="eastAsia" w:ascii="仿宋_GB2312" w:hAnsi="仿宋_GB2312" w:eastAsia="仿宋_GB2312" w:cs="仿宋_GB2312"/>
          <w:spacing w:val="0"/>
          <w:sz w:val="32"/>
          <w:szCs w:val="32"/>
        </w:rPr>
        <w:t>乡镇卫生院</w:t>
      </w:r>
      <w:r>
        <w:rPr>
          <w:rFonts w:hint="eastAsia" w:ascii="仿宋_GB2312" w:hAnsi="仿宋_GB2312" w:eastAsia="仿宋_GB2312" w:cs="仿宋_GB2312"/>
          <w:spacing w:val="0"/>
          <w:sz w:val="32"/>
          <w:szCs w:val="32"/>
          <w:lang w:eastAsia="zh-CN"/>
        </w:rPr>
        <w:t>已</w:t>
      </w:r>
      <w:r>
        <w:rPr>
          <w:rFonts w:hint="eastAsia" w:ascii="仿宋_GB2312" w:hAnsi="仿宋_GB2312" w:eastAsia="仿宋_GB2312" w:cs="仿宋_GB2312"/>
          <w:spacing w:val="0"/>
          <w:sz w:val="32"/>
          <w:szCs w:val="32"/>
        </w:rPr>
        <w:t>达到国家“优质服务基层行”基本标准</w:t>
      </w:r>
      <w:r>
        <w:rPr>
          <w:rFonts w:hint="eastAsia" w:ascii="仿宋_GB2312" w:hAnsi="仿宋_GB2312" w:eastAsia="仿宋_GB2312" w:cs="仿宋_GB2312"/>
          <w:spacing w:val="0"/>
          <w:sz w:val="32"/>
          <w:szCs w:val="32"/>
          <w:lang w:eastAsia="zh-CN"/>
        </w:rPr>
        <w:t>基础上，重点对沁河镇、景凤镇、中峪乡、交口乡、聪子峪乡</w:t>
      </w:r>
      <w:r>
        <w:rPr>
          <w:rFonts w:hint="eastAsia" w:ascii="仿宋_GB2312" w:hAnsi="仿宋_GB2312" w:eastAsia="仿宋_GB2312" w:cs="仿宋_GB2312"/>
          <w:spacing w:val="0"/>
          <w:sz w:val="32"/>
          <w:szCs w:val="32"/>
          <w:lang w:val="en-US" w:eastAsia="zh-CN"/>
        </w:rPr>
        <w:t>5所乡镇卫生院业务用房及基础设施进行新建或</w:t>
      </w:r>
      <w:r>
        <w:rPr>
          <w:rFonts w:hint="eastAsia" w:ascii="仿宋_GB2312" w:hAnsi="仿宋_GB2312" w:eastAsia="仿宋_GB2312" w:cs="仿宋_GB2312"/>
          <w:spacing w:val="-6"/>
          <w:sz w:val="32"/>
          <w:szCs w:val="32"/>
          <w:lang w:val="en-US" w:eastAsia="zh-CN"/>
        </w:rPr>
        <w:t>改造，优化升级诊疗环境</w:t>
      </w:r>
      <w:r>
        <w:rPr>
          <w:rFonts w:hint="eastAsia" w:ascii="仿宋_GB2312" w:hAnsi="仿宋_GB2312" w:eastAsia="仿宋_GB2312" w:cs="仿宋_GB2312"/>
          <w:spacing w:val="-6"/>
          <w:sz w:val="32"/>
          <w:szCs w:val="32"/>
          <w:lang w:eastAsia="zh-CN"/>
        </w:rPr>
        <w:t>。所有</w:t>
      </w:r>
      <w:r>
        <w:rPr>
          <w:rFonts w:hint="eastAsia" w:ascii="仿宋_GB2312" w:hAnsi="仿宋_GB2312" w:eastAsia="仿宋_GB2312" w:cs="仿宋_GB2312"/>
          <w:spacing w:val="-6"/>
          <w:sz w:val="32"/>
          <w:szCs w:val="32"/>
        </w:rPr>
        <w:t>乡镇卫生院至少设立全科医疗科、</w:t>
      </w:r>
      <w:r>
        <w:rPr>
          <w:rFonts w:hint="eastAsia" w:ascii="仿宋_GB2312" w:hAnsi="仿宋_GB2312" w:eastAsia="仿宋_GB2312" w:cs="仿宋_GB2312"/>
          <w:spacing w:val="0"/>
          <w:sz w:val="32"/>
          <w:szCs w:val="32"/>
        </w:rPr>
        <w:t>内（儿）科、外科、妇（产）科、中医科等5个临床科室，能够识别和初步诊治常见病、多发病超过50种，其中中医疾病不少于20种。设有独立的公共卫生科或预防保健科，能够规范开展国家基</w:t>
      </w:r>
      <w:r>
        <w:rPr>
          <w:rFonts w:hint="eastAsia" w:ascii="仿宋_GB2312" w:hAnsi="仿宋_GB2312" w:eastAsia="仿宋_GB2312" w:cs="仿宋_GB2312"/>
          <w:spacing w:val="-6"/>
          <w:sz w:val="32"/>
          <w:szCs w:val="32"/>
        </w:rPr>
        <w:t>本公共卫生服务项目。设有党务、院务、医务等专（兼）职岗位。</w:t>
      </w:r>
      <w:r>
        <w:rPr>
          <w:rFonts w:hint="eastAsia" w:ascii="仿宋_GB2312" w:hAnsi="仿宋_GB2312" w:eastAsia="仿宋_GB2312" w:cs="仿宋_GB2312"/>
          <w:spacing w:val="0"/>
          <w:sz w:val="32"/>
          <w:szCs w:val="32"/>
        </w:rPr>
        <w:t>参照《医疗机构基本标准》要求，配备DR、B超、全自动生化分析仪等22种通用医用装备和转运型救护车。在岗人员不少于15人，卫生技术人员占比不低于80%，医师不少于5人，核定编制低于15人的卫生院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县医疗集团通过人员下派等方式予以支持，保障初诊患者、普通常见病和多发病患者、诊断明确且病情稳定的慢性病患者服务需求。优化升级诊疗环境，主体建筑原则上以米白、浅黄的暖色调为主，竖排单位标志牌以银色不锈钢底色配黑色字体，墙体及钢架单位名称以红色字体为主并配备亮化设施。室内墙体及顶棚以白色为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地面以浅灰、浅蓝为主，诊室门以米色及浅蓝色为主，诊疗区整体色调保持协调。预防接种门诊、儿科诊疗区等以粉色等暖色调为主并进行适儿化改造。中医馆按国家统一标准装修。</w:t>
      </w:r>
    </w:p>
    <w:p>
      <w:pPr>
        <w:pStyle w:val="3"/>
        <w:keepNext w:val="0"/>
        <w:keepLines w:val="0"/>
        <w:pageBreakBefore w:val="0"/>
        <w:widowControl w:val="0"/>
        <w:kinsoku w:val="0"/>
        <w:wordWrap/>
        <w:overflowPunct/>
        <w:topLinePunct w:val="0"/>
        <w:autoSpaceDE w:val="0"/>
        <w:autoSpaceDN w:val="0"/>
        <w:bidi w:val="0"/>
        <w:adjustRightInd w:val="0"/>
        <w:snapToGrid/>
        <w:spacing w:line="576" w:lineRule="exact"/>
        <w:ind w:left="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lang w:eastAsia="zh-CN"/>
        </w:rPr>
        <w:t>二、</w:t>
      </w:r>
      <w:r>
        <w:rPr>
          <w:rFonts w:hint="eastAsia" w:ascii="黑体" w:hAnsi="黑体" w:eastAsia="黑体" w:cs="黑体"/>
          <w:spacing w:val="0"/>
          <w:sz w:val="32"/>
          <w:szCs w:val="32"/>
        </w:rPr>
        <w:t>国家“优质服务基层行”推荐标准创建行动</w:t>
      </w:r>
    </w:p>
    <w:p>
      <w:pPr>
        <w:pStyle w:val="3"/>
        <w:keepNext w:val="0"/>
        <w:keepLines w:val="0"/>
        <w:pageBreakBefore w:val="0"/>
        <w:widowControl w:val="0"/>
        <w:kinsoku w:val="0"/>
        <w:wordWrap/>
        <w:overflowPunct/>
        <w:topLinePunct w:val="0"/>
        <w:autoSpaceDE w:val="0"/>
        <w:autoSpaceDN w:val="0"/>
        <w:bidi w:val="0"/>
        <w:adjustRightInd w:val="0"/>
        <w:snapToGrid/>
        <w:spacing w:line="576" w:lineRule="exact"/>
        <w:ind w:left="0" w:right="0" w:firstLine="640"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0"/>
          <w:sz w:val="32"/>
          <w:szCs w:val="32"/>
        </w:rPr>
        <w:t>支持具备能力基础的乡镇卫生院加强内涵建设，做优做强医疗服务，发挥上下转诊枢纽作用，落实分级诊疗制度。通过因地制宜增设儿科、口腔科、康复科等临床科室，治疗室、处置室、</w:t>
      </w:r>
      <w:r>
        <w:rPr>
          <w:rFonts w:hint="eastAsia" w:ascii="仿宋_GB2312" w:hAnsi="仿宋_GB2312" w:eastAsia="仿宋_GB2312" w:cs="仿宋_GB2312"/>
          <w:spacing w:val="-6"/>
          <w:sz w:val="32"/>
          <w:szCs w:val="32"/>
        </w:rPr>
        <w:t>手术室等医技科室，使识别和初步诊治常见病、多发病超过60种，</w:t>
      </w:r>
      <w:r>
        <w:rPr>
          <w:rFonts w:hint="eastAsia" w:ascii="仿宋_GB2312" w:hAnsi="仿宋_GB2312" w:eastAsia="仿宋_GB2312" w:cs="仿宋_GB2312"/>
          <w:spacing w:val="0"/>
          <w:sz w:val="32"/>
          <w:szCs w:val="32"/>
        </w:rPr>
        <w:t>其中中医疾病不少于30种，能够独立或者通过县级医院巡诊、派驻帮扶开展一级常规手术。增配与诊疗科目相匹配的专用医用设备和急救型救护车。在岗人员不少于30人，卫生技术人员占比不低于82%，有专职医护人员负责住院服务。与县医疗集团建立稳定</w:t>
      </w:r>
      <w:r>
        <w:rPr>
          <w:rFonts w:hint="eastAsia" w:ascii="仿宋_GB2312" w:hAnsi="仿宋_GB2312" w:eastAsia="仿宋_GB2312" w:cs="仿宋_GB2312"/>
          <w:spacing w:val="-6"/>
          <w:sz w:val="32"/>
          <w:szCs w:val="32"/>
        </w:rPr>
        <w:t>的转诊服务关系，能够为县级医院下转病人提供康复等接续服务。</w:t>
      </w: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rPr>
        <w:t>县域医疗卫生服务次中心建设行动</w:t>
      </w: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结合县域人口分布、交通条件和农村居民健康需求，遴选达到推荐标准的乡镇卫生院进一步提升建设标准，使其达到二级医院服务能力，分担县级医院部分职能，并辐射带动周边卫生院发展。围绕承担区域康复、精神卫生、医养结合和公共卫生服务的带动引领职能，增设康复医学科、精神科、老年医学科等临床科室，建设1-2个达到市级重点专科水平的特色科室。配备不少于10种中医诊疗和康复设备，增配与特色科室建设相匹配的CT、胃肠</w:t>
      </w:r>
      <w:r>
        <w:rPr>
          <w:rFonts w:hint="eastAsia" w:ascii="仿宋_GB2312" w:hAnsi="仿宋_GB2312" w:eastAsia="仿宋_GB2312" w:cs="仿宋_GB2312"/>
          <w:spacing w:val="-6"/>
          <w:sz w:val="32"/>
          <w:szCs w:val="32"/>
        </w:rPr>
        <w:t>镜、腹腔镜等设备和急救型救护车。在岗人员原则上不少于50人</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0"/>
          <w:sz w:val="32"/>
          <w:szCs w:val="32"/>
        </w:rPr>
        <w:t>卫生技术人员占比不低于85%，临床科室至少有3名副高级及以上职称的医师，内科、外科等重点科室至少各有1名上级医院长期派驻的副高级职称及以上医师。能识别和诊治常见病、多发病超过</w:t>
      </w:r>
      <w:r>
        <w:rPr>
          <w:rFonts w:hint="eastAsia" w:ascii="仿宋_GB2312" w:hAnsi="仿宋_GB2312" w:eastAsia="仿宋_GB2312" w:cs="仿宋_GB2312"/>
          <w:spacing w:val="-6"/>
          <w:sz w:val="32"/>
          <w:szCs w:val="32"/>
        </w:rPr>
        <w:t>100种、其中中医病种超过40种，3年累计收治住院病种超过60种，</w:t>
      </w:r>
      <w:r>
        <w:rPr>
          <w:rFonts w:hint="eastAsia" w:ascii="仿宋_GB2312" w:hAnsi="仿宋_GB2312" w:eastAsia="仿宋_GB2312" w:cs="仿宋_GB2312"/>
          <w:spacing w:val="0"/>
          <w:sz w:val="32"/>
          <w:szCs w:val="32"/>
        </w:rPr>
        <w:t>能够开展外科、妇产科、眼耳鼻咽喉科等手术病种60种以上</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开展住院手术病种数30种以上。</w:t>
      </w: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rPr>
        <w:t>优质医疗资源扩容下沉</w:t>
      </w:r>
      <w:r>
        <w:rPr>
          <w:rFonts w:hint="eastAsia" w:ascii="黑体" w:hAnsi="黑体" w:eastAsia="黑体" w:cs="黑体"/>
          <w:spacing w:val="0"/>
          <w:sz w:val="32"/>
          <w:szCs w:val="32"/>
          <w:lang w:eastAsia="zh-CN"/>
        </w:rPr>
        <w:t>行动</w:t>
      </w: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在推荐标准卫生院和县域医疗卫生服务次中心设立三级医院</w:t>
      </w:r>
      <w:r>
        <w:rPr>
          <w:rFonts w:hint="eastAsia" w:ascii="仿宋_GB2312" w:hAnsi="仿宋_GB2312" w:eastAsia="仿宋_GB2312" w:cs="仿宋_GB2312"/>
          <w:spacing w:val="-6"/>
          <w:sz w:val="32"/>
          <w:szCs w:val="32"/>
        </w:rPr>
        <w:t>医师工作室，建强乡镇卫生院“拳头”科室。其他卫生院设置二、</w:t>
      </w:r>
      <w:r>
        <w:rPr>
          <w:rFonts w:hint="eastAsia" w:ascii="仿宋_GB2312" w:hAnsi="仿宋_GB2312" w:eastAsia="仿宋_GB2312" w:cs="仿宋_GB2312"/>
          <w:spacing w:val="0"/>
          <w:sz w:val="32"/>
          <w:szCs w:val="32"/>
        </w:rPr>
        <w:t>三级医院巡回服务点。结合乡镇卫生院特色科室建设，县级医院选派科室副主任以上人员到乡镇卫生院担任执行院长或挂职业务副院长。建立健全二级医院包乡镇、乡镇卫生院包村工作机制，县级医院业务骨干每月至少4次到乡镇卫生院进行“一对一”派驻帮扶，每次至少1天。建立检验、影像</w:t>
      </w:r>
      <w:r>
        <w:rPr>
          <w:rFonts w:hint="eastAsia" w:ascii="仿宋_GB2312" w:hAnsi="仿宋_GB2312" w:eastAsia="仿宋_GB2312" w:cs="仿宋_GB2312"/>
          <w:spacing w:val="0"/>
          <w:sz w:val="32"/>
          <w:szCs w:val="32"/>
          <w:lang w:eastAsia="zh-CN"/>
        </w:rPr>
        <w:t>、心电</w:t>
      </w:r>
      <w:r>
        <w:rPr>
          <w:rFonts w:hint="eastAsia" w:ascii="仿宋_GB2312" w:hAnsi="仿宋_GB2312" w:eastAsia="仿宋_GB2312" w:cs="仿宋_GB2312"/>
          <w:spacing w:val="0"/>
          <w:sz w:val="32"/>
          <w:szCs w:val="32"/>
        </w:rPr>
        <w:t>等紧缺医技人员转岗培训机制，加强县域医共体远程医疗功能建设，全面推进县域医共体内“分布式检查、集中式诊断”服务。</w:t>
      </w: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lang w:eastAsia="zh-CN"/>
        </w:rPr>
        <w:t>五、</w:t>
      </w:r>
      <w:r>
        <w:rPr>
          <w:rFonts w:hint="eastAsia" w:ascii="黑体" w:hAnsi="黑体" w:eastAsia="黑体" w:cs="黑体"/>
          <w:spacing w:val="0"/>
          <w:sz w:val="32"/>
          <w:szCs w:val="32"/>
        </w:rPr>
        <w:t>深化政策支持体系建设</w:t>
      </w:r>
    </w:p>
    <w:p>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允许达到推荐标准、县域医疗卫生服务次中心的乡镇卫生院参照二级医院用药管理，执行一级甲等医院收费标准，其他卫生院结合实际服务能力有序扩大用药保障范围。深化乡镇卫生院编制改革，在县级医疗集团编制总量内，优先为推荐标准卫生院和</w:t>
      </w:r>
      <w:r>
        <w:rPr>
          <w:rFonts w:hint="eastAsia" w:ascii="仿宋_GB2312" w:hAnsi="仿宋_GB2312" w:eastAsia="仿宋_GB2312" w:cs="仿宋_GB2312"/>
          <w:spacing w:val="-6"/>
          <w:sz w:val="32"/>
          <w:szCs w:val="32"/>
        </w:rPr>
        <w:t>县域医疗卫生服务次中心招聘人才。深化薪酬制度改革，落实“两</w:t>
      </w:r>
      <w:r>
        <w:rPr>
          <w:rFonts w:hint="eastAsia" w:ascii="仿宋_GB2312" w:hAnsi="仿宋_GB2312" w:eastAsia="仿宋_GB2312" w:cs="仿宋_GB2312"/>
          <w:spacing w:val="0"/>
          <w:sz w:val="32"/>
          <w:szCs w:val="32"/>
        </w:rPr>
        <w:t>个允许”要求，建立向一线医务人员倾斜的绩效评价和薪酬分配制度体系。</w:t>
      </w:r>
    </w:p>
    <w:p>
      <w:pPr>
        <w:pStyle w:val="3"/>
        <w:keepNext w:val="0"/>
        <w:keepLines w:val="0"/>
        <w:pageBreakBefore w:val="0"/>
        <w:widowControl w:val="0"/>
        <w:kinsoku w:val="0"/>
        <w:wordWrap/>
        <w:overflowPunct/>
        <w:topLinePunct w:val="0"/>
        <w:autoSpaceDE w:val="0"/>
        <w:autoSpaceDN w:val="0"/>
        <w:bidi w:val="0"/>
        <w:adjustRightInd w:val="0"/>
        <w:snapToGrid/>
        <w:spacing w:line="576" w:lineRule="exact"/>
        <w:ind w:left="0" w:right="0" w:firstLine="640" w:firstLineChars="200"/>
        <w:jc w:val="both"/>
        <w:textAlignment w:val="baseline"/>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lang w:eastAsia="zh-CN"/>
        </w:rPr>
        <w:t>六、</w:t>
      </w:r>
      <w:r>
        <w:rPr>
          <w:rFonts w:hint="eastAsia" w:ascii="黑体" w:hAnsi="黑体" w:eastAsia="黑体" w:cs="黑体"/>
          <w:color w:val="auto"/>
          <w:spacing w:val="0"/>
          <w:sz w:val="32"/>
          <w:szCs w:val="32"/>
        </w:rPr>
        <w:t>积极争创试点示范项目</w:t>
      </w:r>
    </w:p>
    <w:p>
      <w:pPr>
        <w:pStyle w:val="3"/>
        <w:keepNext w:val="0"/>
        <w:keepLines w:val="0"/>
        <w:pageBreakBefore w:val="0"/>
        <w:widowControl w:val="0"/>
        <w:kinsoku w:val="0"/>
        <w:wordWrap/>
        <w:overflowPunct/>
        <w:topLinePunct w:val="0"/>
        <w:autoSpaceDE w:val="0"/>
        <w:autoSpaceDN w:val="0"/>
        <w:bidi w:val="0"/>
        <w:adjustRightInd w:val="0"/>
        <w:snapToGrid/>
        <w:spacing w:line="576"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积极</w:t>
      </w:r>
      <w:r>
        <w:rPr>
          <w:rFonts w:hint="eastAsia" w:ascii="仿宋_GB2312" w:hAnsi="仿宋_GB2312" w:eastAsia="仿宋_GB2312" w:cs="仿宋_GB2312"/>
          <w:color w:val="auto"/>
          <w:spacing w:val="0"/>
          <w:sz w:val="32"/>
          <w:szCs w:val="32"/>
        </w:rPr>
        <w:t>申报国家强基工程和中心卫生院建设项目，提升基础设施建设水平和设备配备水平。以推荐标准乡镇卫生院为主建设县域医疗卫生服务次中心，申报省级验收认定，争取省财政奖补资金。积极争取国家、省医养结合、安宁疗护试点项目。参照省财政对县域医疗卫生服务次中心奖补标准，市财政对2026—2028年新创建通过推荐标准的乡镇卫生院给予每院50万元奖补，</w:t>
      </w:r>
      <w:r>
        <w:rPr>
          <w:rFonts w:hint="eastAsia" w:ascii="仿宋_GB2312" w:hAnsi="仿宋_GB2312" w:eastAsia="仿宋_GB2312" w:cs="仿宋_GB2312"/>
          <w:i w:val="0"/>
          <w:iCs w:val="0"/>
          <w:caps w:val="0"/>
          <w:color w:val="auto"/>
          <w:spacing w:val="0"/>
          <w:sz w:val="32"/>
          <w:szCs w:val="32"/>
          <w:shd w:val="clear" w:color="auto" w:fill="FFFFFF"/>
          <w:lang w:eastAsia="zh-CN"/>
        </w:rPr>
        <w:t>县财政再奖补</w:t>
      </w:r>
      <w:r>
        <w:rPr>
          <w:rFonts w:hint="eastAsia" w:ascii="仿宋_GB2312" w:hAnsi="仿宋_GB2312" w:eastAsia="仿宋_GB2312" w:cs="仿宋_GB2312"/>
          <w:i w:val="0"/>
          <w:iCs w:val="0"/>
          <w:caps w:val="0"/>
          <w:color w:val="auto"/>
          <w:spacing w:val="0"/>
          <w:sz w:val="32"/>
          <w:szCs w:val="32"/>
          <w:shd w:val="clear" w:color="auto" w:fill="FFFFFF"/>
          <w:lang w:val="en-US" w:eastAsia="zh-CN"/>
        </w:rPr>
        <w:t>50万元</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支持其进一步提升建设水平。</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FangSong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DBC81"/>
    <w:rsid w:val="FDFDB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kern w:val="0"/>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2026-02-06T16:40:00Z</dcterms:created>
  <dc:creator>user</dc:creator>
  <cp:lastModifiedBy>user</cp:lastModifiedBy>
  <dcterms:modified xsi:type="dcterms:W3CDTF">2026-02-06T16:40:26Z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