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after="312" w:afterLines="100" w:line="360" w:lineRule="exact"/>
        <w:jc w:val="center"/>
        <w:rPr>
          <w:rStyle w:val="9"/>
          <w:rFonts w:hint="eastAsia"/>
          <w:color w:val="auto"/>
          <w:sz w:val="24"/>
          <w:szCs w:val="24"/>
          <w:shd w:val="clear" w:color="auto" w:fill="auto"/>
        </w:rPr>
      </w:pPr>
      <w:bookmarkStart w:id="0" w:name="_GoBack"/>
      <w:bookmarkEnd w:id="0"/>
      <w:r>
        <w:rPr>
          <w:rStyle w:val="9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沁源县20</w:t>
      </w:r>
      <w:r>
        <w:rPr>
          <w:rStyle w:val="9"/>
          <w:rFonts w:hint="eastAsia" w:ascii="宋体" w:hAnsi="宋体" w:eastAsia="宋体" w:cs="宋体"/>
          <w:color w:val="auto"/>
          <w:sz w:val="32"/>
          <w:szCs w:val="32"/>
          <w:shd w:val="clear" w:color="auto" w:fill="auto"/>
          <w:lang w:val="en-US" w:eastAsia="zh-CN"/>
        </w:rPr>
        <w:t>18</w:t>
      </w:r>
      <w:r>
        <w:rPr>
          <w:rStyle w:val="9"/>
          <w:rFonts w:hint="eastAsia" w:ascii="宋体" w:hAnsi="宋体" w:eastAsia="宋体" w:cs="宋体"/>
          <w:color w:val="auto"/>
          <w:sz w:val="32"/>
          <w:szCs w:val="32"/>
          <w:shd w:val="clear" w:color="auto" w:fill="auto"/>
        </w:rPr>
        <w:t>年国民经济和社会发展统计公报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 xml:space="preserve"> 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6" w:beforeAutospacing="0" w:after="0" w:afterAutospacing="0" w:line="360" w:lineRule="auto"/>
        <w:ind w:left="0" w:right="0" w:firstLine="480" w:firstLineChars="200"/>
        <w:jc w:val="both"/>
        <w:textAlignment w:val="auto"/>
        <w:rPr>
          <w:rFonts w:ascii="Arial" w:hAnsi="Arial" w:cs="Arial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201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年，沁源县委、县政府坚持稳中求进工作总基调，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紧扣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“绿色立县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，建设美丽沁源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”发展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战略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，按照推动高质量发展要求，践行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“转型、增绿、开放、强基、富民”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五大发展思路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和“修路、种树、治水、兴文、尚旅”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五条发展路径，人民生活持续改善，经济运行保持在合理区间，总体平稳、稳中有进态势持续显现，经济社会发展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取得显著成效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，全面建成小康社会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  <w:lang w:eastAsia="zh-CN"/>
        </w:rPr>
        <w:t>迈出新步伐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一、综  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全年全县地区生产总值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122.97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亿元，比上年增长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7.7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%（不变价增幅）。其中，第一产业增加值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2.72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%；第二产业增加值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85.78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7.7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69.8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%；第三产业增加值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34.47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8.1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%,占生产总值的比重为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%。第三产业中，交通运输、仓储和邮政业增加值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8.4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9.9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%；批发和零售业增加值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7.09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3.7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%；非营利性服务业增加值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5.52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增长8.6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人均地区生产总值</w:t>
      </w:r>
      <w:r>
        <w:rPr>
          <w:rFonts w:hint="eastAsia" w:asciiTheme="minorEastAsia" w:hAnsiTheme="minorEastAsia" w:cstheme="minorEastAsia"/>
          <w:color w:val="auto"/>
          <w:kern w:val="0"/>
          <w:sz w:val="24"/>
          <w:szCs w:val="24"/>
          <w:shd w:val="clear" w:color="auto" w:fill="auto"/>
          <w:lang w:val="en-US" w:eastAsia="zh-CN"/>
        </w:rPr>
        <w:t>75099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元，增长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7.2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%，按201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年平均汇率计算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人均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11349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美元。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  <w:lang w:val="en-US" w:eastAsia="zh-CN"/>
        </w:rPr>
      </w:pPr>
      <w:r>
        <w:drawing>
          <wp:inline distT="0" distB="0" distL="114300" distR="114300">
            <wp:extent cx="5270500" cy="2565400"/>
            <wp:effectExtent l="0" t="0" r="6350" b="63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全年全县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财政总收入35.19亿元，增长15.6%。地方财政收入14.77亿元，增长10.22%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eastAsia="zh-CN"/>
        </w:rPr>
        <w:t>一般公共预算收入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12.12亿元，增长9.89%。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国家税收收入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13.98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亿元，地方税收收入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17.31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亿元。公共财政预算支出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亿元，其中农林水事务支出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3.15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亿元，教育支出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2.31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亿元，医疗卫生支出增长1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.31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亿元，科技支出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0.11亿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元。</w:t>
      </w:r>
      <w:r>
        <w:rPr>
          <w:rFonts w:hint="eastAsia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  <w:r>
        <w:drawing>
          <wp:inline distT="0" distB="0" distL="114300" distR="114300">
            <wp:extent cx="5505450" cy="2637790"/>
            <wp:effectExtent l="0" t="0" r="0" b="0"/>
            <wp:docPr id="19516" name="Chart 51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全年全县城镇新增就业3120人。转移农村劳动力2716人。年末城镇登记失业率1.8%。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shd w:val="clear" w:color="auto" w:fill="auto"/>
        </w:rPr>
        <w:t>二、农  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全年全县农作物种植面积15997.4公顷。其中：粮食种植面积13249.4公顷；玉米种植面积7824.4公顷。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>马铃薯种植面积2878.2公顷，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蔬菜种植面积644.6公顷。全年粮食总产量70984.4吨。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年主要农林产品产量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单位：吨</w:t>
      </w:r>
    </w:p>
    <w:tbl>
      <w:tblPr>
        <w:tblStyle w:val="8"/>
        <w:tblW w:w="7942" w:type="dxa"/>
        <w:jc w:val="center"/>
        <w:tblInd w:w="-1277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7"/>
        <w:gridCol w:w="3185"/>
        <w:gridCol w:w="2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451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产品名称</w:t>
            </w:r>
          </w:p>
        </w:tc>
        <w:tc>
          <w:tcPr>
            <w:tcW w:w="342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440" w:firstLineChars="6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产 量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粮 食</w:t>
            </w:r>
          </w:p>
        </w:tc>
        <w:tc>
          <w:tcPr>
            <w:tcW w:w="3185" w:type="dxa"/>
            <w:tcBorders>
              <w:top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70984.4</w:t>
            </w:r>
          </w:p>
        </w:tc>
        <w:tc>
          <w:tcPr>
            <w:tcW w:w="240" w:type="dxa"/>
            <w:tcBorders>
              <w:top w:val="nil"/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其中：玉 米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56228.5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谷 子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2757.9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豆 类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1294.4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 xml:space="preserve"> 薯 类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44846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油 料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1577.9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蔬菜及食用菌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17550.3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45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水果</w:t>
            </w:r>
          </w:p>
        </w:tc>
        <w:tc>
          <w:tcPr>
            <w:tcW w:w="3185" w:type="dxa"/>
            <w:tcBorders>
              <w:right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943.1</w:t>
            </w:r>
          </w:p>
        </w:tc>
        <w:tc>
          <w:tcPr>
            <w:tcW w:w="240" w:type="dxa"/>
            <w:tcBorders>
              <w:lef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17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食用坚果</w:t>
            </w:r>
          </w:p>
        </w:tc>
        <w:tc>
          <w:tcPr>
            <w:tcW w:w="3185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 xml:space="preserve">  180.9</w:t>
            </w:r>
          </w:p>
        </w:tc>
        <w:tc>
          <w:tcPr>
            <w:tcW w:w="240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全年全县肉类总产量2006吨，其中，猪肉产量550吨，牛肉产量75吨，羊肉产量694吨。牛奶产量113吨。禽蛋产量2207吨。年末生猪存栏6514头，出栏7337头。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年末全县农业机械总动力36098千瓦。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三、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工业和建筑业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年末全县规模以上工业企业26家，完成工业总产值160.22亿元，共实现增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加值82.43亿元，增长8.52%（可比价），其中：制造业增加值占工业增加值的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比重上升率为5.75%，煤炭工业增加值占工业增加值的比重降低率为6.58%。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drawing>
          <wp:inline distT="0" distB="0" distL="114300" distR="114300">
            <wp:extent cx="5271135" cy="2444750"/>
            <wp:effectExtent l="0" t="0" r="5715" b="12700"/>
            <wp:docPr id="17451" name="Chart 307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全社会原煤产量1489.65万吨，增长26.54%；发电量10.28亿千瓦时，增长25.98%；规模以上工业企业焦炭产量150.79万吨，增长13.15%；全年共向省外运输煤炭195.45万吨。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201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年规模以上工业主要工业产品产量及其增长速度</w:t>
      </w:r>
    </w:p>
    <w:tbl>
      <w:tblPr>
        <w:tblStyle w:val="8"/>
        <w:tblW w:w="831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1800"/>
        <w:gridCol w:w="1439"/>
        <w:gridCol w:w="442"/>
        <w:gridCol w:w="1358"/>
        <w:gridCol w:w="57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707" w:type="dxa"/>
            <w:tcBorders>
              <w:top w:val="single" w:color="auto" w:sz="12" w:space="0"/>
              <w:left w:val="nil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指   标</w:t>
            </w:r>
          </w:p>
        </w:tc>
        <w:tc>
          <w:tcPr>
            <w:tcW w:w="1800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 位</w:t>
            </w:r>
          </w:p>
        </w:tc>
        <w:tc>
          <w:tcPr>
            <w:tcW w:w="188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产  量</w:t>
            </w:r>
          </w:p>
        </w:tc>
        <w:tc>
          <w:tcPr>
            <w:tcW w:w="192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比上年增长%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原  煤※</w:t>
            </w:r>
          </w:p>
        </w:tc>
        <w:tc>
          <w:tcPr>
            <w:tcW w:w="1800" w:type="dxa"/>
            <w:tcBorders>
              <w:top w:val="single" w:color="auto" w:sz="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万 吨</w:t>
            </w:r>
          </w:p>
        </w:tc>
        <w:tc>
          <w:tcPr>
            <w:tcW w:w="1439" w:type="dxa"/>
            <w:tcBorders>
              <w:top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1318.7</w:t>
            </w:r>
          </w:p>
        </w:tc>
        <w:tc>
          <w:tcPr>
            <w:tcW w:w="442" w:type="dxa"/>
            <w:tcBorders>
              <w:top w:val="single" w:color="auto" w:sz="2" w:space="0"/>
              <w:left w:val="nil"/>
              <w:bottom w:val="nil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15.28</w:t>
            </w:r>
          </w:p>
        </w:tc>
        <w:tc>
          <w:tcPr>
            <w:tcW w:w="571" w:type="dxa"/>
            <w:tcBorders>
              <w:top w:val="single" w:color="auto" w:sz="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洗精煤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万 吨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689.95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7.78</w:t>
            </w:r>
          </w:p>
        </w:tc>
        <w:tc>
          <w:tcPr>
            <w:tcW w:w="57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发电量※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亿千瓦小时</w:t>
            </w:r>
          </w:p>
        </w:tc>
        <w:tc>
          <w:tcPr>
            <w:tcW w:w="14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10.28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lef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25.98</w:t>
            </w:r>
          </w:p>
        </w:tc>
        <w:tc>
          <w:tcPr>
            <w:tcW w:w="571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焦  炭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万 吨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150.79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single" w:color="auto" w:sz="2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13.15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70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煤  气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万立方米</w:t>
            </w:r>
          </w:p>
        </w:tc>
        <w:tc>
          <w:tcPr>
            <w:tcW w:w="1439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10583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8" w:type="dxa"/>
            <w:tcBorders>
              <w:top w:val="nil"/>
              <w:left w:val="single" w:color="auto" w:sz="2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-7.96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注：标注※为全社会产量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规模以上工业企业实现主营业务收入138.25亿元，增长16.8%；实现利润28.15亿元，同比增长4.1%；实现利税46.89亿元，同比增长7%。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全年全县建筑业总产值3800万元，增长8.57%。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四、固定资产投资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全年固定资产投资55.7亿元，增长11.2%（新统计口径）。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仿宋" w:hAnsi="仿宋" w:eastAsia="仿宋" w:cs="宋体"/>
          <w:color w:val="0000FF"/>
          <w:kern w:val="0"/>
          <w:sz w:val="28"/>
          <w:szCs w:val="28"/>
          <w:shd w:val="clear" w:color="auto" w:fill="auto"/>
        </w:rPr>
      </w:pPr>
      <w:r>
        <w:drawing>
          <wp:inline distT="0" distB="0" distL="114300" distR="114300">
            <wp:extent cx="5271135" cy="2496185"/>
            <wp:effectExtent l="0" t="0" r="0" b="0"/>
            <wp:docPr id="18475" name="Chart 409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分产业看，第一产业投资0.75亿元；第二产业投资33.6亿元；第三产业投资21.4亿元。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全年全县在建固定资产投资项目85个。其中，5000万以上项目49个，计划总投资161.3亿元，完成投资45.71亿元。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全年全县招商引资签约项目当年开工率按个数为65.7%，按投资额为22.9%。全年开发区投资强度是300万元/亩，产出强度是200万元/亩，税收强度9万元/亩.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五、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国内贸易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firstLine="480" w:firstLineChars="200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2"/>
          <w:szCs w:val="22"/>
          <w:shd w:val="clear" w:color="auto" w:fill="auto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全年全县社会消费品零售总额27.91亿元，增长10.5%。其中，城镇消费品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零售额13.47亿元，增长10.3%；乡村消费品零售额14.44亿元，增长10.7%。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/>
          <w:color w:val="0000FF"/>
          <w:shd w:val="clear" w:color="auto" w:fill="auto"/>
        </w:rPr>
      </w:pPr>
      <w:r>
        <w:drawing>
          <wp:inline distT="0" distB="0" distL="114300" distR="114300">
            <wp:extent cx="5271135" cy="2444750"/>
            <wp:effectExtent l="0" t="0" r="0" b="0"/>
            <wp:docPr id="16427" name="Chart 20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 201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年社会消费品零售总额及其增长速度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单位：亿元</w:t>
      </w:r>
    </w:p>
    <w:tbl>
      <w:tblPr>
        <w:tblStyle w:val="8"/>
        <w:tblW w:w="828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620"/>
        <w:gridCol w:w="540"/>
        <w:gridCol w:w="1440"/>
        <w:gridCol w:w="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960" w:firstLineChars="4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720" w:firstLineChars="3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绝对数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比上年增长%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社会消费品零售总额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27.91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分地域：城 镇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13.47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乡 村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14.44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分行业：批发业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2.42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零售业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23.12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住宿业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54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 xml:space="preserve">        餐饮业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54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8.9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 201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年限额以上批发零售业零售额及其增长速度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单位：亿元</w:t>
      </w:r>
    </w:p>
    <w:tbl>
      <w:tblPr>
        <w:tblStyle w:val="8"/>
        <w:tblW w:w="8280" w:type="dxa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440"/>
        <w:gridCol w:w="720"/>
        <w:gridCol w:w="1440"/>
        <w:gridCol w:w="7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1200" w:firstLineChars="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绝对数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240" w:firstLineChars="1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比上年增长%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960" w:type="dxa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限额以上批发零售业零售额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2.76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其中：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石油及制品类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1.02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33.7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粮油、食品、饮料、烟酒类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-26.9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服装、鞋帽、针纺织品类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0.35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62.2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文化办公用品类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-30.8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化妆品类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0.07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1.8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日用品类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0.09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五金电料类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0.18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2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通讯器材类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0.13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32.4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中西药品类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0.14</w:t>
            </w:r>
          </w:p>
        </w:tc>
        <w:tc>
          <w:tcPr>
            <w:tcW w:w="720" w:type="dxa"/>
            <w:tcBorders>
              <w:top w:val="nil"/>
              <w:bottom w:val="nil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8.5</w:t>
            </w:r>
          </w:p>
        </w:tc>
        <w:tc>
          <w:tcPr>
            <w:tcW w:w="720" w:type="dxa"/>
            <w:tcBorders>
              <w:top w:val="nil"/>
              <w:bottom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96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42</w:t>
            </w:r>
          </w:p>
        </w:tc>
        <w:tc>
          <w:tcPr>
            <w:tcW w:w="720" w:type="dxa"/>
            <w:tcBorders>
              <w:top w:val="nil"/>
              <w:bottom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六、交通、邮电和旅游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年末全县公路线路里程946.03公里。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全年全县完成邮政业务总量1416万元，增长1.49%；电信业务总量9903.83万元，下降3.85%，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其中：联通公司业务总量3152万元，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移动公司业务总量6000万元，电信公司业务总量751.83万元，年末移动电话用户达到14.81万户，全县互联网接入用户5.51万户。全年全县旅游总收入完成37.5亿元，增长26%。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七、金  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年末全县金融机构各项存款余额73.75亿元，同比增长14.26%。各项贷款余额28.55亿元，增长4.36%。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 xml:space="preserve">   201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年年末金融机构存贷款及其增长速度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14:textFill>
            <w14:solidFill>
              <w14:schemeClr w14:val="tx1"/>
            </w14:solidFill>
          </w14:textFill>
        </w:rPr>
        <w:t>单位：万元</w:t>
      </w:r>
    </w:p>
    <w:tbl>
      <w:tblPr>
        <w:tblStyle w:val="8"/>
        <w:tblW w:w="6300" w:type="dxa"/>
        <w:jc w:val="center"/>
        <w:tblInd w:w="108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0"/>
        <w:gridCol w:w="1620"/>
        <w:gridCol w:w="54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4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指    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年末数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40" w:type="dxa"/>
            <w:tcBorders>
              <w:top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各项存款余额</w:t>
            </w:r>
          </w:p>
        </w:tc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right="14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737510</w:t>
            </w:r>
          </w:p>
        </w:tc>
        <w:tc>
          <w:tcPr>
            <w:tcW w:w="540" w:type="dxa"/>
            <w:tcBorders>
              <w:top w:val="single" w:color="auto" w:sz="12" w:space="0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4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其中：住户存款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532161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4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政府存款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71546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4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企业存款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133763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4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各项贷款余额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285545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40" w:type="dxa"/>
            <w:tcBorders>
              <w:top w:val="nil"/>
              <w:bottom w:val="nil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其中：住户贷款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77202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140" w:type="dxa"/>
            <w:tcBorders>
              <w:top w:val="nil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企业贷款</w:t>
            </w:r>
          </w:p>
        </w:tc>
        <w:tc>
          <w:tcPr>
            <w:tcW w:w="1620" w:type="dxa"/>
            <w:tcBorders>
              <w:top w:val="nil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208343</w:t>
            </w:r>
          </w:p>
        </w:tc>
        <w:tc>
          <w:tcPr>
            <w:tcW w:w="540" w:type="dxa"/>
            <w:tcBorders>
              <w:top w:val="nil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年末全县保费收入11264万元，其中，寿险业务保费收入7072万元，财产险业务保费收入4192万元。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八、教育和科学技术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年末全县普通高中1所，职业高中1所，单办初中5所，九年一贯制学校1所，小学68所。中学在校学生4010人。全县教师为1808人，其中，小学教师为993人，初中为495人，高中为320人。全县普通小学在校学生9652人。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 xml:space="preserve">   201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shd w:val="clear" w:color="auto" w:fill="auto"/>
        </w:rPr>
        <w:t>年各类教育发展情况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righ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</w:rPr>
        <w:t>单位：人</w:t>
      </w:r>
    </w:p>
    <w:tbl>
      <w:tblPr>
        <w:tblStyle w:val="8"/>
        <w:tblW w:w="83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6"/>
        <w:gridCol w:w="1620"/>
        <w:gridCol w:w="540"/>
        <w:gridCol w:w="1440"/>
        <w:gridCol w:w="360"/>
        <w:gridCol w:w="1440"/>
        <w:gridCol w:w="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指   标</w:t>
            </w:r>
          </w:p>
        </w:tc>
        <w:tc>
          <w:tcPr>
            <w:tcW w:w="216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招生</w:t>
            </w:r>
          </w:p>
        </w:tc>
        <w:tc>
          <w:tcPr>
            <w:tcW w:w="18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在校生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  <w:left w:val="single" w:color="000000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毕业生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single" w:color="auto" w:sz="12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中等职业教育</w:t>
            </w:r>
          </w:p>
        </w:tc>
        <w:tc>
          <w:tcPr>
            <w:tcW w:w="162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51</w:t>
            </w:r>
          </w:p>
        </w:tc>
        <w:tc>
          <w:tcPr>
            <w:tcW w:w="540" w:type="dxa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140</w:t>
            </w:r>
          </w:p>
        </w:tc>
        <w:tc>
          <w:tcPr>
            <w:tcW w:w="360" w:type="dxa"/>
            <w:tcBorders>
              <w:top w:val="single" w:color="auto" w:sz="12" w:space="0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255</w:t>
            </w:r>
          </w:p>
        </w:tc>
        <w:tc>
          <w:tcPr>
            <w:tcW w:w="402" w:type="dxa"/>
            <w:tcBorders>
              <w:top w:val="single" w:color="auto" w:sz="12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普通高中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1818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789</w:t>
            </w:r>
          </w:p>
        </w:tc>
        <w:tc>
          <w:tcPr>
            <w:tcW w:w="40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初  中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1492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4010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1033</w:t>
            </w:r>
          </w:p>
        </w:tc>
        <w:tc>
          <w:tcPr>
            <w:tcW w:w="40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小  学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1638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9652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1912</w:t>
            </w:r>
          </w:p>
        </w:tc>
        <w:tc>
          <w:tcPr>
            <w:tcW w:w="40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学前教育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1411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4775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lef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1635</w:t>
            </w:r>
          </w:p>
        </w:tc>
        <w:tc>
          <w:tcPr>
            <w:tcW w:w="402" w:type="dxa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536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  <w:t>特殊教育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12" w:space="0"/>
              <w:bottom w:val="single" w:color="000000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  <w:lang w:val="en-US" w:eastAsia="zh-CN"/>
              </w:rPr>
              <w:t>59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1440" w:type="dxa"/>
            <w:tcBorders>
              <w:top w:val="nil"/>
              <w:left w:val="single" w:color="000000" w:sz="12" w:space="0"/>
              <w:bottom w:val="single" w:color="auto" w:sz="12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left="0" w:leftChars="0" w:firstLine="480" w:firstLineChars="200"/>
              <w:jc w:val="righ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shd w:val="clear" w:color="auto" w:fill="auto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全年专利申请量为14项，全年全县共签订各类技术合同10项，技术合同成交总额19706万元。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  <w:t>九、文化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  <w:t>卫生</w:t>
      </w: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和体育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县共有艺术表演团7个，文化馆1个，公共图书馆1个，公共图书馆藏书量14万册，档案馆1个。全县电视台1座，电视综合人口覆盖率达到94%。全县有线电视用户达到3.5万户，其中数字信号用户1.33万户。全县共建成村级文化活动场所254个，群众舞台105个，乡镇文化站14个，农家书屋254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年末全县共有医院、卫生院18个，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妇幼保健机构 1个，疾病预防控制中心（防疫站）1个。卫生技术人员759人。全县新型农村合作医疗覆盖率 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年末全县共有体育馆1个，全年举办各类赛事活动30余场，累计观众月均达到10万余人次。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ind w:right="0" w:rightChars="0"/>
        <w:jc w:val="center"/>
        <w:textAlignment w:val="auto"/>
        <w:outlineLvl w:val="9"/>
        <w:rPr>
          <w:rFonts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</w:pPr>
      <w:r>
        <w:rPr>
          <w:rFonts w:hint="eastAsia" w:ascii="仿宋" w:hAnsi="仿宋" w:eastAsia="仿宋" w:cs="宋体"/>
          <w:b/>
          <w:color w:val="auto"/>
          <w:kern w:val="0"/>
          <w:sz w:val="28"/>
          <w:szCs w:val="28"/>
          <w:shd w:val="clear" w:color="auto" w:fill="auto"/>
        </w:rPr>
        <w:t>十、人口、人民生活和社会保障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根据山西省1%人口抽样调查，年末全县总人口164494人，其中：男性88225人，女性76269人，男女性别比（女=100）115.68，城镇人口77557人，乡村人口86937人，城镇化率47.15%，人口自然增长率3.85‰。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根据城乡住户一体化调查抽样显示，城镇居民人均可支配收入34718元，比上年增长6.8%；农村居民人均可支配收入15085元，比上年增长10%；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drawing>
          <wp:inline distT="0" distB="0" distL="114300" distR="114300">
            <wp:extent cx="5271135" cy="2617470"/>
            <wp:effectExtent l="0" t="0" r="5715" b="11430"/>
            <wp:docPr id="15403" name="Chart 10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drawing>
          <wp:inline distT="0" distB="0" distL="114300" distR="114300">
            <wp:extent cx="5271135" cy="2444750"/>
            <wp:effectExtent l="0" t="0" r="0" b="0"/>
            <wp:docPr id="1437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 xml:space="preserve"> 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shd w:val="clear" w:color="auto" w:fill="auto"/>
        </w:rPr>
        <w:t>表</w:t>
      </w: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shd w:val="clear" w:color="auto" w:fill="auto"/>
          <w:lang w:val="en-US" w:eastAsia="zh-CN"/>
        </w:rPr>
        <w:t xml:space="preserve">7  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 xml:space="preserve"> 20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14年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>-201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  <w:lang w:val="en-US" w:eastAsia="zh-CN"/>
        </w:rPr>
        <w:t>8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  <w:t>年城乡居民生活改善情况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2" w:firstLineChars="200"/>
        <w:jc w:val="center"/>
        <w:textAlignment w:val="auto"/>
        <w:outlineLvl w:val="9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shd w:val="clear" w:color="auto" w:fill="auto"/>
        </w:rPr>
      </w:pPr>
    </w:p>
    <w:tbl>
      <w:tblPr>
        <w:tblStyle w:val="8"/>
        <w:tblW w:w="8803" w:type="dxa"/>
        <w:tblInd w:w="-235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5"/>
        <w:gridCol w:w="716"/>
        <w:gridCol w:w="990"/>
        <w:gridCol w:w="995"/>
        <w:gridCol w:w="1079"/>
        <w:gridCol w:w="1079"/>
        <w:gridCol w:w="107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720" w:firstLineChars="3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指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 xml:space="preserve"> 标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单位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201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城镇居民人均可支配收入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26691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28500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30438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32507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34718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农村居民人均纯收入</w:t>
            </w:r>
          </w:p>
        </w:tc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元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10952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  <w:t>11900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12745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13714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hd w:val="clear" w:color="auto" w:fill="auto"/>
                <w:lang w:val="en-US" w:eastAsia="zh-CN"/>
              </w:rPr>
              <w:t>15085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年末城乡居民养老保险人数为83557人，参加城镇职工基本医疗保险人数为22236人，参加城乡居民基本医疗保险124936人，参加企业养老保险人数13769人，参加城镇失业保险人数为24203人。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 xml:space="preserve">全年城镇居民最低生活保障人数1411人，农村居民最低生活保障人数5764人，农村特殊困难人数1485人，城市特殊困难人数5人。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</w:rPr>
        <w:t>十一、城市建设、资源、环境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shd w:val="clear" w:color="auto" w:fill="auto"/>
          <w:lang w:eastAsia="zh-CN"/>
        </w:rPr>
        <w:t>和安全生产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FF"/>
          <w:kern w:val="0"/>
          <w:sz w:val="24"/>
          <w:szCs w:val="24"/>
          <w:shd w:val="clear" w:color="auto" w:fill="auto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年末全县城市建成区面积 5.54平方公里。年末建成区绿化面积231.46万平方米，建成区绿化覆盖率41.77%。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auto"/>
          <w:lang w:val="en-US" w:eastAsia="zh-CN"/>
        </w:rPr>
        <w:t>年末城市交通运营车辆6辆，出租汽车79辆。</w:t>
      </w: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全县共有公园11个，公园绿地总面积41.88万平方米。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全年城市供水总量178万吨，全县集中供热面积310万平方米，其中住宅供热面积206万平方米。全年污水处理率95.65%。生活垃圾无害化处理率达到100%。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农田灌溉有效面积全年完成3.58万亩，基本农田保护面积实际完成27.88万亩。完成水土流失综合治理9.6万亩。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年末全县森林面积220万亩，森林覆盖率56.7%。全县全年营造林合格面积2.319万亩。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全年全县工业固体废弃物综合利用率100%，全年全县空气质量Ⅱ级以上天数达273天，空气质量优良天数比例是74.8%，全县集中式饮用水水源水质达标率为100%，地表水考核断面达标率为100%。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年末全县亿元地区生产总值生产安全事故死亡率是0.08。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公报注释 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1.本公报部分数据为初步统计数据。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2.地区生产总值、各产业增加值绝对数按现价计算，增长速度按不变价格计算。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3.所有增长或下降速度均为同上年相比较。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4.部分数据因四舍五入的原因，存在与分项合计不等的情况。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360" w:lineRule="auto"/>
        <w:ind w:left="0" w:lef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5.固定资产投资数据按新统计口径计算。</w:t>
      </w:r>
    </w:p>
    <w:p>
      <w:pPr>
        <w:rPr>
          <w:color w:val="0000FF"/>
          <w:shd w:val="clear" w:color="auto" w:fill="auto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86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"/>
    <w:pitch w:val="default"/>
    <w:sig w:usb0="00007A87" w:usb1="80000000" w:usb2="00000008" w:usb3="00000000" w:csb0="400001FF" w:csb1="FFFF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02596F"/>
    <w:rsid w:val="01514BA1"/>
    <w:rsid w:val="04231BB2"/>
    <w:rsid w:val="043F781C"/>
    <w:rsid w:val="07D83A2A"/>
    <w:rsid w:val="09166196"/>
    <w:rsid w:val="0A412CA2"/>
    <w:rsid w:val="0A66604A"/>
    <w:rsid w:val="0B18365C"/>
    <w:rsid w:val="0BD34F43"/>
    <w:rsid w:val="0C317027"/>
    <w:rsid w:val="0CA61888"/>
    <w:rsid w:val="0DA24024"/>
    <w:rsid w:val="0EEC6675"/>
    <w:rsid w:val="0F5F1459"/>
    <w:rsid w:val="10E11DD5"/>
    <w:rsid w:val="110674CA"/>
    <w:rsid w:val="14191B68"/>
    <w:rsid w:val="1500085D"/>
    <w:rsid w:val="17C2215E"/>
    <w:rsid w:val="180A1228"/>
    <w:rsid w:val="183175C1"/>
    <w:rsid w:val="1A6B2A6F"/>
    <w:rsid w:val="1BD86733"/>
    <w:rsid w:val="1D992D44"/>
    <w:rsid w:val="1EE471A9"/>
    <w:rsid w:val="1F3224C4"/>
    <w:rsid w:val="1F7C680C"/>
    <w:rsid w:val="20D22BEF"/>
    <w:rsid w:val="23692B9E"/>
    <w:rsid w:val="24BB03ED"/>
    <w:rsid w:val="25A8609C"/>
    <w:rsid w:val="27165858"/>
    <w:rsid w:val="280C09A3"/>
    <w:rsid w:val="282942CC"/>
    <w:rsid w:val="283346C6"/>
    <w:rsid w:val="283B4FBA"/>
    <w:rsid w:val="29824AA1"/>
    <w:rsid w:val="29C7469C"/>
    <w:rsid w:val="2EC34D2F"/>
    <w:rsid w:val="2EC55133"/>
    <w:rsid w:val="30340BC8"/>
    <w:rsid w:val="31847811"/>
    <w:rsid w:val="32A0217C"/>
    <w:rsid w:val="336B6D0B"/>
    <w:rsid w:val="33D91572"/>
    <w:rsid w:val="3519616E"/>
    <w:rsid w:val="383724DB"/>
    <w:rsid w:val="38DD7396"/>
    <w:rsid w:val="3C887091"/>
    <w:rsid w:val="3E070B60"/>
    <w:rsid w:val="42F53927"/>
    <w:rsid w:val="4402596F"/>
    <w:rsid w:val="44CF0C2D"/>
    <w:rsid w:val="465F198F"/>
    <w:rsid w:val="47576317"/>
    <w:rsid w:val="48C82680"/>
    <w:rsid w:val="49A45828"/>
    <w:rsid w:val="49F741A0"/>
    <w:rsid w:val="4A015882"/>
    <w:rsid w:val="4B7C5608"/>
    <w:rsid w:val="4DA76C96"/>
    <w:rsid w:val="4DEA7112"/>
    <w:rsid w:val="4EB60A0B"/>
    <w:rsid w:val="506C3BE6"/>
    <w:rsid w:val="51184A96"/>
    <w:rsid w:val="51415FB0"/>
    <w:rsid w:val="52085A7A"/>
    <w:rsid w:val="520C5387"/>
    <w:rsid w:val="52B157B1"/>
    <w:rsid w:val="57BE67A2"/>
    <w:rsid w:val="586065D9"/>
    <w:rsid w:val="5B0E655F"/>
    <w:rsid w:val="5B730363"/>
    <w:rsid w:val="5D837CEA"/>
    <w:rsid w:val="5E857409"/>
    <w:rsid w:val="631A3A14"/>
    <w:rsid w:val="640465DC"/>
    <w:rsid w:val="64AC331A"/>
    <w:rsid w:val="66F5765E"/>
    <w:rsid w:val="689C75B7"/>
    <w:rsid w:val="6944792A"/>
    <w:rsid w:val="6A4B7076"/>
    <w:rsid w:val="6BA03E00"/>
    <w:rsid w:val="6D994016"/>
    <w:rsid w:val="6E245706"/>
    <w:rsid w:val="73B66FB6"/>
    <w:rsid w:val="755F3888"/>
    <w:rsid w:val="77E228F1"/>
    <w:rsid w:val="780310F6"/>
    <w:rsid w:val="792632EE"/>
    <w:rsid w:val="7A614A3C"/>
    <w:rsid w:val="7CBE14F5"/>
    <w:rsid w:val="7D5301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page number"/>
    <w:basedOn w:val="4"/>
    <w:qFormat/>
    <w:uiPriority w:val="0"/>
  </w:style>
  <w:style w:type="character" w:styleId="6">
    <w:name w:val="FollowedHyperlink"/>
    <w:basedOn w:val="4"/>
    <w:qFormat/>
    <w:uiPriority w:val="0"/>
    <w:rPr>
      <w:color w:val="FFFFFF"/>
      <w:u w:val="none"/>
    </w:rPr>
  </w:style>
  <w:style w:type="character" w:styleId="7">
    <w:name w:val="Hyperlink"/>
    <w:basedOn w:val="4"/>
    <w:qFormat/>
    <w:uiPriority w:val="0"/>
    <w:rPr>
      <w:color w:val="FFFFFF"/>
      <w:u w:val="none"/>
    </w:rPr>
  </w:style>
  <w:style w:type="character" w:customStyle="1" w:styleId="9">
    <w:name w:val="p241"/>
    <w:qFormat/>
    <w:uiPriority w:val="0"/>
    <w:rPr>
      <w:b/>
      <w:bCs/>
      <w:color w:val="98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chart" Target="charts/chart7.xml"/><Relationship Id="rId11" Type="http://schemas.openxmlformats.org/officeDocument/2006/relationships/chart" Target="charts/chart6.xml"/><Relationship Id="rId10" Type="http://schemas.openxmlformats.org/officeDocument/2006/relationships/chart" Target="charts/chart5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1313;&#20108;&#20116;&#27777;&#28304;&#21439;&#26609;&#29366;&#22270;%20-%20&#21103;&#26412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1313;&#20108;&#20116;&#27777;&#28304;&#21439;&#26609;&#29366;&#22270;%20-%20&#21103;&#26412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1313;&#20108;&#20116;&#27777;&#28304;&#21439;&#26609;&#29366;&#22270;%20-%20&#21103;&#26412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1313;&#20108;&#20116;&#27777;&#28304;&#21439;&#26609;&#29366;&#22270;%20-%20&#21103;&#26412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1313;&#20108;&#20116;&#27777;&#28304;&#21439;&#26609;&#29366;&#22270;%20-%20&#21103;&#26412;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1313;&#20108;&#20116;&#27777;&#28304;&#21439;&#26609;&#29366;&#22270;%20-%20&#21103;&#26412;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Administrator\&#26700;&#38754;\&#21313;&#20108;&#20116;&#27777;&#28304;&#21439;&#26609;&#29366;&#22270;%20-%20&#21103;&#26412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沁源县近年来</a:t>
            </a:r>
            <a:r>
              <a:rPr altLang="en-US"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地区生产总值</a:t>
            </a: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完成情况 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43975903614458"/>
          <c:y val="0.0322513866383034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7590361445783"/>
          <c:y val="0.199471280942081"/>
          <c:w val="0.770722891566265"/>
          <c:h val="0.69142033165104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"总量"</c:f>
              <c:strCache>
                <c:ptCount val="1"/>
                <c:pt idx="0">
                  <c:v>总量</c:v>
                </c:pt>
              </c:strCache>
            </c:strRef>
          </c:tx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副本.xls]工业产值 (2)'!$A$2:$A$8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副本.xls]工业产值 (2)'!$B$2:$B$8</c:f>
              <c:numCache>
                <c:formatCode>General</c:formatCode>
                <c:ptCount val="7"/>
                <c:pt idx="0">
                  <c:v>110.86</c:v>
                </c:pt>
                <c:pt idx="1">
                  <c:v>101.6</c:v>
                </c:pt>
                <c:pt idx="2">
                  <c:v>94.97</c:v>
                </c:pt>
                <c:pt idx="3">
                  <c:v>87.5</c:v>
                </c:pt>
                <c:pt idx="4">
                  <c:v>102.9</c:v>
                </c:pt>
                <c:pt idx="5">
                  <c:v>136.3</c:v>
                </c:pt>
                <c:pt idx="6">
                  <c:v>122.97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32978539"/>
        <c:axId val="532009274"/>
      </c:barChart>
      <c:lineChart>
        <c:grouping val="standard"/>
        <c:varyColors val="0"/>
        <c:ser>
          <c:idx val="0"/>
          <c:order val="1"/>
          <c:tx>
            <c:strRef>
              <c:f>"增速"</c:f>
              <c:strCache>
                <c:ptCount val="1"/>
                <c:pt idx="0">
                  <c:v>增速</c:v>
                </c:pt>
              </c:strCache>
            </c:strRef>
          </c:tx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副本.xls]工业产值 (2)'!$A$2:$A$8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副本.xls]工业产值 (2)'!$C$2:$C$8</c:f>
              <c:numCache>
                <c:formatCode>General</c:formatCode>
                <c:ptCount val="7"/>
                <c:pt idx="0">
                  <c:v>15.1</c:v>
                </c:pt>
                <c:pt idx="1">
                  <c:v>10.1</c:v>
                </c:pt>
                <c:pt idx="2">
                  <c:v>7.5</c:v>
                </c:pt>
                <c:pt idx="3">
                  <c:v>-0.9</c:v>
                </c:pt>
                <c:pt idx="4">
                  <c:v>4.5</c:v>
                </c:pt>
                <c:pt idx="5">
                  <c:v>10.3</c:v>
                </c:pt>
                <c:pt idx="6">
                  <c:v>7.7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18934088"/>
        <c:axId val="528074574"/>
      </c:lineChart>
      <c:catAx>
        <c:axId val="432978539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32009274"/>
        <c:crosses val="autoZero"/>
        <c:auto val="0"/>
        <c:lblAlgn val="ctr"/>
        <c:lblOffset val="100"/>
        <c:noMultiLvlLbl val="0"/>
      </c:catAx>
      <c:valAx>
        <c:axId val="532009274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67202325581395"/>
              <c:y val="0.0867702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32978539"/>
        <c:crosses val="autoZero"/>
        <c:crossBetween val="between"/>
      </c:valAx>
      <c:catAx>
        <c:axId val="318934088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28074574"/>
        <c:crosses val="autoZero"/>
        <c:auto val="0"/>
        <c:lblAlgn val="ctr"/>
        <c:lblOffset val="100"/>
        <c:noMultiLvlLbl val="0"/>
      </c:catAx>
      <c:valAx>
        <c:axId val="528074574"/>
        <c:scaling>
          <c:orientation val="minMax"/>
          <c:max val="20"/>
          <c:min val="-5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/>
                    </a:solidFill>
                    <a:latin typeface="Arial" panose="020B0604020202020204" pitchFamily="7" charset="0"/>
                    <a:ea typeface="Arial" panose="020B0604020202020204" pitchFamily="7" charset="0"/>
                    <a:cs typeface="Arial" panose="020B0604020202020204" pitchFamily="7" charset="0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/>
                  </a:solidFill>
                  <a:latin typeface="Arial" panose="020B0604020202020204" pitchFamily="7" charset="0"/>
                  <a:ea typeface="Arial" panose="020B0604020202020204" pitchFamily="7" charset="0"/>
                  <a:cs typeface="Arial" panose="020B0604020202020204" pitchFamily="7" charset="0"/>
                </a:endParaRPr>
              </a:p>
            </c:rich>
          </c:tx>
          <c:layout>
            <c:manualLayout>
              <c:xMode val="edge"/>
              <c:yMode val="edge"/>
              <c:x val="0.835950740740741"/>
              <c:y val="0.0985257488393687"/>
            </c:manualLayout>
          </c:layout>
          <c:overlay val="0"/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318934088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沁源县近年来财政总收入完成情况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31953464285693"/>
          <c:y val="0.058506686478454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94142980189492"/>
          <c:y val="0.163447251114413"/>
          <c:w val="0.739104220499569"/>
          <c:h val="0.75222882615156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5"/>
              <c:layout>
                <c:manualLayout>
                  <c:x val="0.0198751653954596"/>
                  <c:y val="0.023277108190462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副本.xls]十二五成果展1'!$A$2:$A$8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副本.xls]十二五成果展1'!$B$2:$B$8</c:f>
              <c:numCache>
                <c:formatCode>General</c:formatCode>
                <c:ptCount val="7"/>
                <c:pt idx="0">
                  <c:v>25.57</c:v>
                </c:pt>
                <c:pt idx="1">
                  <c:v>27.75</c:v>
                </c:pt>
                <c:pt idx="2">
                  <c:v>20.4</c:v>
                </c:pt>
                <c:pt idx="3">
                  <c:v>16.5</c:v>
                </c:pt>
                <c:pt idx="4">
                  <c:v>16.42</c:v>
                </c:pt>
                <c:pt idx="5">
                  <c:v>30.43</c:v>
                </c:pt>
                <c:pt idx="6">
                  <c:v>35.19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246166775"/>
        <c:axId val="850937861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0.00645994832041344"/>
                  <c:y val="-0.0055720653789004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0645994832041344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0427672459240748"/>
                  <c:y val="0.02345008776272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489387194407329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894070702662261"/>
                  <c:y val="0.005860246128173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.00673440557067631"/>
                  <c:y val="0.0270034876362581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副本.xls]十二五成果展1'!$A$2:$A$8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副本.xls]十二五成果展1'!$C$2:$C$8</c:f>
              <c:numCache>
                <c:formatCode>General</c:formatCode>
                <c:ptCount val="7"/>
                <c:pt idx="0">
                  <c:v>16.75</c:v>
                </c:pt>
                <c:pt idx="1">
                  <c:v>8.53</c:v>
                </c:pt>
                <c:pt idx="2">
                  <c:v>-26.49</c:v>
                </c:pt>
                <c:pt idx="3">
                  <c:v>-19.05</c:v>
                </c:pt>
                <c:pt idx="4">
                  <c:v>-0.61</c:v>
                </c:pt>
                <c:pt idx="5">
                  <c:v>85.36</c:v>
                </c:pt>
                <c:pt idx="6">
                  <c:v>15.6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9965073"/>
        <c:axId val="665346670"/>
      </c:lineChart>
      <c:catAx>
        <c:axId val="246166775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850937861"/>
        <c:crosses val="autoZero"/>
        <c:auto val="0"/>
        <c:lblAlgn val="ctr"/>
        <c:lblOffset val="100"/>
        <c:noMultiLvlLbl val="0"/>
      </c:catAx>
      <c:valAx>
        <c:axId val="850937861"/>
        <c:scaling>
          <c:orientation val="minMax"/>
        </c:scaling>
        <c:delete val="0"/>
        <c:axPos val="l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589256859249547"/>
              <c:y val="0.00779220779220779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46166775"/>
        <c:crosses val="autoZero"/>
        <c:crossBetween val="between"/>
      </c:valAx>
      <c:catAx>
        <c:axId val="109965073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665346670"/>
        <c:crosses val="autoZero"/>
        <c:auto val="0"/>
        <c:lblAlgn val="ctr"/>
        <c:lblOffset val="100"/>
        <c:noMultiLvlLbl val="0"/>
      </c:catAx>
      <c:valAx>
        <c:axId val="665346670"/>
        <c:scaling>
          <c:orientation val="minMax"/>
        </c:scaling>
        <c:delete val="0"/>
        <c:axPos val="r"/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5917312661499"/>
              <c:y val="0.045505200594353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109965073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沁源县近年来工业增加值完成情况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35496454927288"/>
          <c:y val="0.0259204861990377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625"/>
          <c:y val="0.2"/>
          <c:w val="0.7385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0131309480785448"/>
                  <c:y val="0.024675324675324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副本.xls]工业产值'!$A$2:$A$8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副本.xls]工业产值'!$B$2:$B$8</c:f>
              <c:numCache>
                <c:formatCode>General</c:formatCode>
                <c:ptCount val="7"/>
                <c:pt idx="0">
                  <c:v>87.05</c:v>
                </c:pt>
                <c:pt idx="1">
                  <c:v>74.53</c:v>
                </c:pt>
                <c:pt idx="2">
                  <c:v>66.67</c:v>
                </c:pt>
                <c:pt idx="3">
                  <c:v>57.1</c:v>
                </c:pt>
                <c:pt idx="4">
                  <c:v>68.9</c:v>
                </c:pt>
                <c:pt idx="5">
                  <c:v>104</c:v>
                </c:pt>
                <c:pt idx="6">
                  <c:v>82.43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145106430"/>
        <c:axId val="446002377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6"/>
              <c:layout>
                <c:manualLayout>
                  <c:x val="0"/>
                  <c:y val="0.010649350649350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副本.xls]工业产值'!$A$2:$A$8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副本.xls]工业产值'!$C$2:$C$8</c:f>
              <c:numCache>
                <c:formatCode>General</c:formatCode>
                <c:ptCount val="7"/>
                <c:pt idx="0">
                  <c:v>24.4</c:v>
                </c:pt>
                <c:pt idx="1">
                  <c:v>11.12</c:v>
                </c:pt>
                <c:pt idx="2">
                  <c:v>8.91</c:v>
                </c:pt>
                <c:pt idx="3">
                  <c:v>-3.8</c:v>
                </c:pt>
                <c:pt idx="4">
                  <c:v>2.52</c:v>
                </c:pt>
                <c:pt idx="5">
                  <c:v>15.55</c:v>
                </c:pt>
                <c:pt idx="6">
                  <c:v>8.52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75956691"/>
        <c:axId val="806964852"/>
      </c:lineChart>
      <c:catAx>
        <c:axId val="145106430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46002377"/>
        <c:crosses val="autoZero"/>
        <c:auto val="0"/>
        <c:lblAlgn val="ctr"/>
        <c:lblOffset val="100"/>
        <c:noMultiLvlLbl val="0"/>
      </c:catAx>
      <c:valAx>
        <c:axId val="446002377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67202325581395"/>
              <c:y val="0.0867702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145106430"/>
        <c:crosses val="autoZero"/>
        <c:crossBetween val="between"/>
      </c:valAx>
      <c:catAx>
        <c:axId val="775956691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06964852"/>
        <c:crosses val="autoZero"/>
        <c:auto val="0"/>
        <c:lblAlgn val="ctr"/>
        <c:lblOffset val="100"/>
        <c:noMultiLvlLbl val="0"/>
      </c:catAx>
      <c:valAx>
        <c:axId val="806964852"/>
        <c:scaling>
          <c:orientation val="minMax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35950740740741"/>
              <c:y val="0.0985257488393687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75956691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沁源县近年来固定资产投资完成情况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235193676453873"/>
          <c:y val="0.015225027263470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8625"/>
          <c:y val="0.2085"/>
          <c:w val="0.74375"/>
          <c:h val="0.6827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副本.xls]固定资产投资'!$A$2:$A$8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副本.xls]固定资产投资'!$B$2:$B$8</c:f>
              <c:numCache>
                <c:formatCode>General</c:formatCode>
                <c:ptCount val="7"/>
                <c:pt idx="0">
                  <c:v>58.33</c:v>
                </c:pt>
                <c:pt idx="1">
                  <c:v>77.15</c:v>
                </c:pt>
                <c:pt idx="2">
                  <c:v>90.93</c:v>
                </c:pt>
                <c:pt idx="3">
                  <c:v>107</c:v>
                </c:pt>
                <c:pt idx="4">
                  <c:v>108.36</c:v>
                </c:pt>
                <c:pt idx="5">
                  <c:v>50.1</c:v>
                </c:pt>
                <c:pt idx="6">
                  <c:v>55.7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724544406"/>
        <c:axId val="400869937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4"/>
              <c:layout>
                <c:manualLayout>
                  <c:x val="0"/>
                  <c:y val="-0.031289748155685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-0.017298397354362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副本.xls]固定资产投资'!$A$2:$A$8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副本.xls]固定资产投资'!$C$2:$C$8</c:f>
              <c:numCache>
                <c:formatCode>General</c:formatCode>
                <c:ptCount val="7"/>
                <c:pt idx="0">
                  <c:v>27.7</c:v>
                </c:pt>
                <c:pt idx="1">
                  <c:v>32.28</c:v>
                </c:pt>
                <c:pt idx="2">
                  <c:v>17.9</c:v>
                </c:pt>
                <c:pt idx="3">
                  <c:v>17.7</c:v>
                </c:pt>
                <c:pt idx="4">
                  <c:v>1.3</c:v>
                </c:pt>
                <c:pt idx="5">
                  <c:v>7.8</c:v>
                </c:pt>
                <c:pt idx="6">
                  <c:v>11.2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59209836"/>
        <c:axId val="784612079"/>
      </c:lineChart>
      <c:catAx>
        <c:axId val="724544406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00869937"/>
        <c:crosses val="autoZero"/>
        <c:auto val="0"/>
        <c:lblAlgn val="ctr"/>
        <c:lblOffset val="100"/>
        <c:noMultiLvlLbl val="0"/>
      </c:catAx>
      <c:valAx>
        <c:axId val="400869937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258743744077871"/>
              <c:y val="0.108644748839369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24544406"/>
        <c:crosses val="autoZero"/>
        <c:crossBetween val="between"/>
      </c:valAx>
      <c:catAx>
        <c:axId val="559209836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784612079"/>
        <c:crosses val="autoZero"/>
        <c:auto val="0"/>
        <c:lblAlgn val="ctr"/>
        <c:lblOffset val="100"/>
        <c:noMultiLvlLbl val="0"/>
      </c:catAx>
      <c:valAx>
        <c:axId val="784612079"/>
        <c:scaling>
          <c:orientation val="minMax"/>
          <c:max val="80"/>
        </c:scaling>
        <c:delete val="0"/>
        <c:axPos val="r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0429115879921"/>
              <c:y val="0.116837748839369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59209836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 i="0" u="none" strike="noStrike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rPr>
              <a:t>沁源县近年来社会消费品零售总额完成情况</a:t>
            </a:r>
            <a:endParaRPr sz="1200" b="1" i="0" u="none" strike="noStrike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66644814438159"/>
          <c:y val="0.0124856202293528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072"/>
          <c:y val="0.20275"/>
          <c:w val="0.7635"/>
          <c:h val="0.688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6"/>
              <c:layout>
                <c:manualLayout>
                  <c:x val="0"/>
                  <c:y val="-0.021298701298701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副本.xls]社会消费品零售总额'!$A$2:$A$8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副本.xls]社会消费品零售总额'!$B$2:$B$8</c:f>
              <c:numCache>
                <c:formatCode>General</c:formatCode>
                <c:ptCount val="7"/>
                <c:pt idx="0">
                  <c:v>15.32</c:v>
                </c:pt>
                <c:pt idx="1">
                  <c:v>17.53</c:v>
                </c:pt>
                <c:pt idx="2">
                  <c:v>19.69</c:v>
                </c:pt>
                <c:pt idx="3">
                  <c:v>21.4</c:v>
                </c:pt>
                <c:pt idx="4">
                  <c:v>23.36</c:v>
                </c:pt>
                <c:pt idx="5">
                  <c:v>25.25</c:v>
                </c:pt>
                <c:pt idx="6">
                  <c:v>27.91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86661140"/>
        <c:axId val="548264318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6"/>
              <c:layout>
                <c:manualLayout>
                  <c:x val="-0.00325262016624503"/>
                  <c:y val="-0.014025974025974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副本.xls]社会消费品零售总额'!$A$2:$A$8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副本.xls]社会消费品零售总额'!$C$2:$C$8</c:f>
              <c:numCache>
                <c:formatCode>General</c:formatCode>
                <c:ptCount val="7"/>
                <c:pt idx="0">
                  <c:v>16.2</c:v>
                </c:pt>
                <c:pt idx="1">
                  <c:v>14.4</c:v>
                </c:pt>
                <c:pt idx="2">
                  <c:v>12.3</c:v>
                </c:pt>
                <c:pt idx="3">
                  <c:v>5</c:v>
                </c:pt>
                <c:pt idx="4">
                  <c:v>9.2</c:v>
                </c:pt>
                <c:pt idx="5">
                  <c:v>8.1</c:v>
                </c:pt>
                <c:pt idx="6">
                  <c:v>10.5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20306945"/>
        <c:axId val="856718723"/>
      </c:lineChart>
      <c:catAx>
        <c:axId val="486661140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548264318"/>
        <c:crosses val="autoZero"/>
        <c:auto val="0"/>
        <c:lblAlgn val="ctr"/>
        <c:lblOffset val="100"/>
        <c:noMultiLvlLbl val="0"/>
      </c:catAx>
      <c:valAx>
        <c:axId val="548264318"/>
        <c:scaling>
          <c:orientation val="minMax"/>
        </c:scaling>
        <c:delete val="0"/>
        <c:axPos val="l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亿元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158352325581395"/>
              <c:y val="0.0768107488393686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86661140"/>
        <c:crosses val="autoZero"/>
        <c:crossBetween val="between"/>
      </c:valAx>
      <c:catAx>
        <c:axId val="220306945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856718723"/>
        <c:crosses val="autoZero"/>
        <c:auto val="0"/>
        <c:lblAlgn val="ctr"/>
        <c:lblOffset val="100"/>
        <c:noMultiLvlLbl val="0"/>
      </c:catAx>
      <c:valAx>
        <c:axId val="856718723"/>
        <c:scaling>
          <c:orientation val="minMax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45274353574505"/>
              <c:y val="0.103182238625812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20306945"/>
        <c:crosses val="max"/>
        <c:crossBetween val="between"/>
        <c:majorUnit val="5"/>
      </c:valAx>
      <c:spPr>
        <a:noFill/>
        <a:ln w="12700">
          <a:solidFill>
            <a:srgbClr val="808080">
              <a:alpha val="100000"/>
            </a:srgbClr>
          </a:solidFill>
          <a:prstDash val="solid"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沁源近年来城镇居民人均可支配收入完成情况</a:t>
            </a:r>
            <a:endParaRPr sz="12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70340038919426"/>
          <c:y val="0.0103273884889484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-0.0163835682447898"/>
                  <c:y val="0.0036390101892285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副本.xls]城镇居民人均可支配收入'!$A$2:$A$8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副本.xls]城镇居民人均可支配收入'!$B$2:$B$8</c:f>
              <c:numCache>
                <c:formatCode>General</c:formatCode>
                <c:ptCount val="7"/>
                <c:pt idx="0">
                  <c:v>22570</c:v>
                </c:pt>
                <c:pt idx="1">
                  <c:v>25008</c:v>
                </c:pt>
                <c:pt idx="2">
                  <c:v>26691</c:v>
                </c:pt>
                <c:pt idx="3">
                  <c:v>28500</c:v>
                </c:pt>
                <c:pt idx="4">
                  <c:v>30438</c:v>
                </c:pt>
                <c:pt idx="5">
                  <c:v>32507</c:v>
                </c:pt>
                <c:pt idx="6">
                  <c:v>34718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55271625"/>
        <c:axId val="442545747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0"/>
              <c:layout>
                <c:manualLayout>
                  <c:x val="-0.00650524033249006"/>
                  <c:y val="-0.0099466278505579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0.0015660763763402"/>
                  <c:y val="-0.0131004366812227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0.0015660763763402"/>
                  <c:y val="-0.036390101892285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00156607637634025"/>
                  <c:y val="-0.036632702571567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0.00168654378990483"/>
                  <c:y val="-0.03954391072295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0.00337308757980966"/>
                  <c:y val="-0.030082484230955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副本.xls]城镇居民人均可支配收入'!$A$2:$A$8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副本.xls]城镇居民人均可支配收入'!$C$2:$C$8</c:f>
              <c:numCache>
                <c:formatCode>General</c:formatCode>
                <c:ptCount val="7"/>
                <c:pt idx="0">
                  <c:v>14.06</c:v>
                </c:pt>
                <c:pt idx="1">
                  <c:v>10.8</c:v>
                </c:pt>
                <c:pt idx="2">
                  <c:v>8.4</c:v>
                </c:pt>
                <c:pt idx="3">
                  <c:v>6.8</c:v>
                </c:pt>
                <c:pt idx="4">
                  <c:v>6.8</c:v>
                </c:pt>
                <c:pt idx="5">
                  <c:v>6.8</c:v>
                </c:pt>
                <c:pt idx="6">
                  <c:v>6.8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5972052"/>
        <c:axId val="447694052"/>
      </c:lineChart>
      <c:catAx>
        <c:axId val="55271625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442545747"/>
        <c:crosses val="autoZero"/>
        <c:auto val="0"/>
        <c:lblAlgn val="ctr"/>
        <c:lblOffset val="100"/>
        <c:noMultiLvlLbl val="0"/>
      </c:catAx>
      <c:valAx>
        <c:axId val="442545747"/>
        <c:scaling>
          <c:orientation val="minMax"/>
        </c:scaling>
        <c:delete val="0"/>
        <c:axPos val="l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411710198105082"/>
              <c:y val="0.112170047818013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55271625"/>
        <c:crosses val="autoZero"/>
        <c:crossBetween val="between"/>
      </c:valAx>
      <c:catAx>
        <c:axId val="925972052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47694052"/>
        <c:crosses val="autoZero"/>
        <c:auto val="0"/>
        <c:lblAlgn val="ctr"/>
        <c:lblOffset val="100"/>
        <c:noMultiLvlLbl val="0"/>
      </c:catAx>
      <c:valAx>
        <c:axId val="447694052"/>
        <c:scaling>
          <c:orientation val="minMax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50347853574505"/>
              <c:y val="0.104966738625812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925972052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solidFill>
      <a:srgbClr val="FFFFFF">
        <a:alpha val="100000"/>
      </a:srgbClr>
    </a:solidFill>
    <a:ln w="3175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200" b="1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  <a:r>
              <a:rPr sz="1200" b="1"/>
              <a:t>沁源近年来农村居民人均可支配收入完成情况</a:t>
            </a:r>
            <a:endParaRPr sz="1200" b="1" i="0" u="none" strike="noStrike" baseline="0">
              <a:solidFill>
                <a:srgbClr val="000000">
                  <a:alpha val="100000"/>
                </a:srgbClr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155033405582653"/>
          <c:y val="0.0363100965886481"/>
        </c:manualLayout>
      </c:layout>
      <c:overlay val="0"/>
      <c:spPr>
        <a:noFill/>
        <a:ln w="317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09925"/>
          <c:y val="0.2"/>
          <c:w val="0.736"/>
          <c:h val="0.6915"/>
        </c:manualLayout>
      </c:layout>
      <c:barChart>
        <c:barDir val="col"/>
        <c:grouping val="clustered"/>
        <c:varyColors val="0"/>
        <c:ser>
          <c:idx val="1"/>
          <c:order val="0"/>
          <c:spPr>
            <a:solidFill>
              <a:srgbClr val="993366">
                <a:alpha val="100000"/>
              </a:srgbClr>
            </a:solidFill>
            <a:ln w="12700">
              <a:solidFill>
                <a:srgbClr val="000000">
                  <a:alpha val="100000"/>
                </a:srgbClr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0.0212951834513261"/>
                  <c:y val="0.033882718952356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副本.xls]农村居民人均可支配收入'!$A$2:$A$8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副本.xls]农村居民人均可支配收入'!$B$2:$B$8</c:f>
              <c:numCache>
                <c:formatCode>General</c:formatCode>
                <c:ptCount val="7"/>
                <c:pt idx="0">
                  <c:v>8648</c:v>
                </c:pt>
                <c:pt idx="1">
                  <c:v>9677</c:v>
                </c:pt>
                <c:pt idx="2">
                  <c:v>10952</c:v>
                </c:pt>
                <c:pt idx="3">
                  <c:v>11900</c:v>
                </c:pt>
                <c:pt idx="4">
                  <c:v>12745</c:v>
                </c:pt>
                <c:pt idx="5">
                  <c:v>13714</c:v>
                </c:pt>
                <c:pt idx="6">
                  <c:v>15085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458485347"/>
        <c:axId val="160470173"/>
      </c:barChart>
      <c:lineChart>
        <c:grouping val="standard"/>
        <c:varyColors val="0"/>
        <c:ser>
          <c:idx val="0"/>
          <c:order val="1"/>
          <c:spPr>
            <a:ln w="12700" cap="rnd" cmpd="sng" algn="ctr">
              <a:solidFill>
                <a:srgbClr val="000080">
                  <a:alpha val="100000"/>
                </a:srgbClr>
              </a:solidFill>
              <a:prstDash val="solid"/>
              <a:round/>
            </a:ln>
          </c:spPr>
          <c:marker>
            <c:symbol val="diamond"/>
            <c:size val="5"/>
            <c:spPr>
              <a:solidFill>
                <a:srgbClr val="000080">
                  <a:alpha val="100000"/>
                </a:srgbClr>
              </a:solidFill>
              <a:ln w="6350" cap="flat" cmpd="sng" algn="ctr">
                <a:solidFill>
                  <a:srgbClr val="000080">
                    <a:alpha val="100000"/>
                  </a:srgbClr>
                </a:solidFill>
                <a:prstDash val="solid"/>
                <a:round/>
              </a:ln>
            </c:spPr>
          </c:marker>
          <c:dLbls>
            <c:dLbl>
              <c:idx val="1"/>
              <c:layout>
                <c:manualLayout>
                  <c:x val="-0.00650524033249006"/>
                  <c:y val="0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0.0179220779220779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 w="3175"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'[十二五沁源县柱状图 - 副本.xls]农村居民人均可支配收入'!$A$2:$A$8</c:f>
              <c:strCache>
                <c:ptCount val="7"/>
                <c:pt idx="0">
                  <c:v>2012年</c:v>
                </c:pt>
                <c:pt idx="1">
                  <c:v>2013年</c:v>
                </c:pt>
                <c:pt idx="2">
                  <c:v>2014年</c:v>
                </c:pt>
                <c:pt idx="3">
                  <c:v>2015年</c:v>
                </c:pt>
                <c:pt idx="4">
                  <c:v>2016年</c:v>
                </c:pt>
                <c:pt idx="5">
                  <c:v>2017年</c:v>
                </c:pt>
                <c:pt idx="6">
                  <c:v>2018年</c:v>
                </c:pt>
              </c:strCache>
            </c:strRef>
          </c:cat>
          <c:val>
            <c:numRef>
              <c:f>'[十二五沁源县柱状图 - 副本.xls]农村居民人均可支配收入'!$C$2:$C$8</c:f>
              <c:numCache>
                <c:formatCode>General</c:formatCode>
                <c:ptCount val="7"/>
                <c:pt idx="0">
                  <c:v>15.4</c:v>
                </c:pt>
                <c:pt idx="1">
                  <c:v>11.9</c:v>
                </c:pt>
                <c:pt idx="2">
                  <c:v>12.5</c:v>
                </c:pt>
                <c:pt idx="3">
                  <c:v>8.7</c:v>
                </c:pt>
                <c:pt idx="4">
                  <c:v>7.1</c:v>
                </c:pt>
                <c:pt idx="5">
                  <c:v>7.6</c:v>
                </c:pt>
                <c:pt idx="6">
                  <c:v>10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97611051"/>
        <c:axId val="23712142"/>
      </c:lineChart>
      <c:catAx>
        <c:axId val="458485347"/>
        <c:scaling>
          <c:orientation val="minMax"/>
        </c:scaling>
        <c:delete val="0"/>
        <c:axPos val="b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160470173"/>
        <c:crosses val="autoZero"/>
        <c:auto val="0"/>
        <c:lblAlgn val="ctr"/>
        <c:lblOffset val="100"/>
        <c:noMultiLvlLbl val="0"/>
      </c:catAx>
      <c:valAx>
        <c:axId val="160470173"/>
        <c:scaling>
          <c:orientation val="minMax"/>
        </c:scaling>
        <c:delete val="0"/>
        <c:axPos val="l"/>
        <c:title>
          <c:tx>
            <c:rich>
              <a:bodyPr rot="0" spcFirstLastPara="0" vertOverflow="ellipsis" vert="wordArtVertRtl" wrap="square" anchor="t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元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0396990198105082"/>
              <c:y val="0.103872047818013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58485347"/>
        <c:crosses val="autoZero"/>
        <c:crossBetween val="between"/>
      </c:valAx>
      <c:catAx>
        <c:axId val="497611051"/>
        <c:scaling>
          <c:orientation val="minMax"/>
        </c:scaling>
        <c:delete val="1"/>
        <c:axPos val="b"/>
        <c:majorTickMark val="in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23712142"/>
        <c:crosses val="autoZero"/>
        <c:auto val="0"/>
        <c:lblAlgn val="ctr"/>
        <c:lblOffset val="100"/>
        <c:noMultiLvlLbl val="0"/>
      </c:catAx>
      <c:valAx>
        <c:axId val="23712142"/>
        <c:scaling>
          <c:orientation val="minMax"/>
          <c:max val="25"/>
        </c:scaling>
        <c:delete val="0"/>
        <c:axPos val="r"/>
        <c:title>
          <c:tx>
            <c:rich>
              <a:bodyPr rot="0" spcFirstLastPara="0" vertOverflow="ellipsis" vert="wordArtVertRtl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rgbClr val="000000">
                        <a:alpha val="100000"/>
                      </a:srgbClr>
                    </a:solidFill>
                    <a:latin typeface="Arial" panose="020B0604020202020204" charset="-122"/>
                    <a:ea typeface="Arial" panose="020B0604020202020204" charset="-122"/>
                    <a:cs typeface="Arial" panose="020B0604020202020204" charset="-122"/>
                  </a:defRPr>
                </a:pPr>
                <a:r>
                  <a:t>%</a:t>
                </a:r>
                <a:endParaRPr sz="1000" b="0" i="0" u="none" strike="noStrike" baseline="0">
                  <a:solidFill>
                    <a:srgbClr val="000000">
                      <a:alpha val="100000"/>
                    </a:srgbClr>
                  </a:solidFill>
                  <a:latin typeface="Arial" panose="020B0604020202020204" charset="-122"/>
                  <a:ea typeface="Arial" panose="020B0604020202020204" charset="-122"/>
                  <a:cs typeface="Arial" panose="020B0604020202020204" charset="-122"/>
                </a:endParaRPr>
              </a:p>
            </c:rich>
          </c:tx>
          <c:layout>
            <c:manualLayout>
              <c:xMode val="edge"/>
              <c:yMode val="edge"/>
              <c:x val="0.850347853574505"/>
              <c:y val="0.0932112386258125"/>
            </c:manualLayout>
          </c:layout>
          <c:overlay val="0"/>
          <c:spPr>
            <a:noFill/>
            <a:ln w="3175">
              <a:noFill/>
            </a:ln>
          </c:spPr>
        </c:title>
        <c:numFmt formatCode="General" sourceLinked="1"/>
        <c:majorTickMark val="in"/>
        <c:minorTickMark val="none"/>
        <c:tickLblPos val="nextTo"/>
        <c:spPr>
          <a:ln w="3175" cap="flat" cmpd="sng" algn="ctr">
            <a:solidFill>
              <a:srgbClr val="000000">
                <a:alpha val="100000"/>
              </a:srgbClr>
            </a:solidFill>
            <a:prstDash val="solid"/>
            <a:round/>
          </a:ln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000000">
                    <a:alpha val="100000"/>
                  </a:srgbClr>
                </a:solidFill>
                <a:latin typeface="Arial" panose="020B0604020202020204" charset="-122"/>
                <a:ea typeface="Arial" panose="020B0604020202020204" charset="-122"/>
                <a:cs typeface="Arial" panose="020B0604020202020204" charset="-122"/>
              </a:defRPr>
            </a:pPr>
          </a:p>
        </c:txPr>
        <c:crossAx val="497611051"/>
        <c:crosses val="max"/>
        <c:crossBetween val="between"/>
      </c:valAx>
      <c:spPr>
        <a:noFill/>
        <a:ln w="3175">
          <a:noFill/>
        </a:ln>
      </c:spPr>
    </c:plotArea>
    <c:plotVisOnly val="1"/>
    <c:dispBlanksAs val="gap"/>
    <c:showDLblsOverMax val="0"/>
  </c:chart>
  <c:spPr>
    <a:noFill/>
    <a:ln w="6350" cap="flat" cmpd="sng" algn="ctr">
      <a:noFill/>
      <a:prstDash val="solid"/>
      <a:round/>
    </a:ln>
  </c:spPr>
  <c:txPr>
    <a:bodyPr rot="0" wrap="square" anchor="ctr" anchorCtr="1"/>
    <a:lstStyle/>
    <a:p>
      <a:pPr>
        <a:defRPr lang="zh-CN" sz="1000" b="0" i="0" u="none" strike="noStrike" baseline="0">
          <a:solidFill>
            <a:srgbClr val="000000"/>
          </a:solidFill>
          <a:latin typeface="Arial" panose="020B0604020202020204" charset="-122"/>
          <a:ea typeface="Arial" panose="020B0604020202020204" charset="-122"/>
          <a:cs typeface="Arial" panose="020B0604020202020204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2018-03-21T02:43:00Z</dcterms:created>
  <dc:creator>安静的娃娃脸</dc:creator>
  <cp:lastModifiedBy>小飞象</cp:lastModifiedBy>
  <cp:lastPrinted>2019-02-27T07:22:00Z</cp:lastPrinted>
  <dcterms:modified xsi:type="dcterms:W3CDTF">2019-03-20T10:13:40Z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