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81A0">
      <w:pPr>
        <w:jc w:val="center"/>
        <w:rPr>
          <w:rFonts w:hint="eastAsia" w:ascii="方正小标宋简体" w:hAnsi="方正小标宋简体" w:eastAsia="方正小标宋简体" w:cs="方正小标宋简体"/>
          <w:szCs w:val="44"/>
        </w:rPr>
      </w:pPr>
    </w:p>
    <w:p w14:paraId="507E325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政府决算公开相关说明</w:t>
      </w:r>
    </w:p>
    <w:p w14:paraId="267A78D6"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32"/>
        </w:rPr>
      </w:pPr>
    </w:p>
    <w:p w14:paraId="5A36A2C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根据《财政部关于印发&lt;地方预决算公开操作规程&gt; 的通知》（财预〔2016〕143 号）文件精神，为方便社会公众对我县2024年政府决算的理解和监督，现将有关重要事项说明如下：</w:t>
      </w:r>
    </w:p>
    <w:p w14:paraId="22FA927F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预算收入执行情况</w:t>
      </w:r>
    </w:p>
    <w:p w14:paraId="69273A38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2024年，我县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财政总收入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完成809009万元，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占年初预算的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71.64%，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比上年同期1094118万元增长-26.06%。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完成30442万元，比上年同期10913万元增长178.95%。</w:t>
      </w:r>
    </w:p>
    <w:p w14:paraId="37E5487E">
      <w:pPr>
        <w:numPr>
          <w:ilvl w:val="0"/>
          <w:numId w:val="2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分级次完成情况。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地方财政收入完成359845万元，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占年初预算的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87.7%，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398377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万元增长-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9.67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一般公共预算收入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完成297112万元，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占年初预算的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91.65%，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314741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万元增长-5.6%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；上划市级收入完成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62733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占年初预算的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72.82%，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83636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万元增长-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24.99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；上划省级收入完成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189104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占年初预算的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78.65%，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231795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万元增长-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18.42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；上划中央收入完成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260060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占年初预算的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54.35%，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463946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万元增长-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43.95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D10B2DC">
      <w:pPr>
        <w:spacing w:line="62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（二）收入构成情况。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税收完成193206万元，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占年初预算的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66.43%，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比上年同期282353万元增长-31.57%，非税完成103906万元，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占年初预算的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311.47%，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比上年同期32388万元增长220.82%。</w:t>
      </w:r>
    </w:p>
    <w:p w14:paraId="6ED14AB3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预算支出执行情况</w:t>
      </w:r>
    </w:p>
    <w:p w14:paraId="4A963210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2024年沁源县一般公共预算支出379295万元，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比上年同期431752万元增长-12.15%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政府性基金支出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完成27087万元，比上年同期24346万元增长11.26%。</w:t>
      </w:r>
    </w:p>
    <w:p w14:paraId="300E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分类别执行情况：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般公共服务支出68327万元，同比增长-3%；国防支出23万元，同比增长-34%；公共安全支出15412万元，同比增长25%；教育支出39349万元，同比增长-27%；科学技术支出498万元，同比增长403%；文化旅游体育与传媒支出6009万元，同比增长-20%；社会保障和就业支出40848万元，同比增长6%；卫生健康支出18635万元，同比增长-6%；节能环保支出4718万元，同比增长-68%；城乡社区支出56695万元，同比增长26%；农林水支出64685万元，同比增长-9%；交通运输支出21410万元，同比增长14%；资源勘探工业信息等支出18272万元，同比增长-63%；商业服务业等支出1886万元，同比增长-12%；自然资源海洋气象等支出2687万元，同比增长-77%；住房保障支出7848万元，同比增长31%；粮油物资储备支出342万元，同比增长-64%；灾害防治及应急管理支出10493万元，同比增长20%；其他支出(类)350万元，同比增长-43%；债务付息支出806万元，同比增长20%；债务发行费用支出2万元，同比增长-50%。</w:t>
      </w:r>
    </w:p>
    <w:p w14:paraId="2614C2B3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财政转移支付执行情况说明</w:t>
      </w:r>
    </w:p>
    <w:p w14:paraId="2A7DCEF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 年，我县上级补助收入决算 88320万元，具体安排情况如下：</w:t>
      </w:r>
    </w:p>
    <w:p w14:paraId="3A4C07F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1.返还性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-340万元，具体情况见决算表。</w:t>
      </w:r>
    </w:p>
    <w:p w14:paraId="0AB8C4B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2.一般性转移支付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75628万元，主要是体制补助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500万元，均衡性转移支付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971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万元，县级基本财力保障机制奖补资金8811万元，各项结算补助收入33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万元，资源枯竭型城市转移支付补助889万元，重点生态功能区转移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192万元，固定数额补助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万元，革命老区转移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1277万元，巩固脱贫攻坚成果衔接乡村振兴转移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3742元，共同财政事权转移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38949元，其他一般性转移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59667E8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13032万元，具体项目安排情况见决算表。</w:t>
      </w:r>
    </w:p>
    <w:p w14:paraId="67721BA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、举借政府债务情况说明</w:t>
      </w:r>
    </w:p>
    <w:p w14:paraId="582DF0D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2024年，上级核定我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政府债务总限额15598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万元。其中：一般债务限额2532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万元，专项债务限额130654万元。我县政府债务率33.03%，为绿色安全等级。当年新增政府债务限额3470万元，主要用于：</w:t>
      </w:r>
    </w:p>
    <w:p w14:paraId="2066832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一般债券2016万元，包括：2023年低级别不可移动文物保护项目895万元，沁源县上兴居-五龙川-北山旅游公路918万元，任家庄—花坡—沁河源旅游公路203万元。</w:t>
      </w:r>
    </w:p>
    <w:p w14:paraId="765B8F7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专项债券1454万元，包括：沁源县妇幼保健计划生育服务中心新建综合业务用房建设项目1200万元，沁源县净水有限公司县城污水处理厂提标改造工程（置换存量隐性债务再融资专项债券）254万元。</w:t>
      </w:r>
    </w:p>
    <w:p w14:paraId="0F6E6D71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</w:rPr>
        <w:t>、其他工作开展情况</w:t>
      </w:r>
    </w:p>
    <w:p w14:paraId="35E3834C">
      <w:pPr>
        <w:ind w:firstLine="640" w:firstLineChars="200"/>
        <w:rPr>
          <w:rFonts w:ascii="楷体_GB2312" w:hAnsi="黑体" w:eastAsia="楷体_GB2312" w:cs="仿宋_GB2312"/>
          <w:sz w:val="32"/>
          <w:szCs w:val="32"/>
        </w:rPr>
      </w:pPr>
      <w:r>
        <w:rPr>
          <w:rFonts w:hint="eastAsia" w:ascii="楷体_GB2312" w:hAnsi="黑体" w:eastAsia="楷体_GB2312" w:cs="仿宋_GB2312"/>
          <w:sz w:val="32"/>
          <w:szCs w:val="32"/>
        </w:rPr>
        <w:t>（一）</w:t>
      </w:r>
      <w:r>
        <w:rPr>
          <w:rFonts w:hint="eastAsia" w:ascii="楷体_GB2312" w:hAnsi="黑体" w:eastAsia="楷体_GB2312" w:cs="仿宋_GB2312"/>
          <w:sz w:val="32"/>
          <w:szCs w:val="32"/>
          <w:lang w:eastAsia="zh-CN"/>
        </w:rPr>
        <w:t>政府</w:t>
      </w:r>
      <w:r>
        <w:rPr>
          <w:rFonts w:hint="eastAsia" w:ascii="楷体_GB2312" w:hAnsi="黑体" w:eastAsia="楷体_GB2312" w:cs="仿宋_GB2312"/>
          <w:sz w:val="32"/>
          <w:szCs w:val="32"/>
        </w:rPr>
        <w:t>预算执行情况</w:t>
      </w:r>
    </w:p>
    <w:p w14:paraId="02280C1E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1.守牢发展底线</w:t>
      </w:r>
    </w:p>
    <w:p w14:paraId="510F3CB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兜牢“三保”底线：将“三保”纳入预算支出优先位置，足额安排“三保”支出，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全年“三保”支出平稳过渡。</w:t>
      </w:r>
    </w:p>
    <w:p w14:paraId="0B016C2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严防债务风险：修订完善政府性债务风险应急处置预案，年末政府性债务余额未超过债务率安全警戒线，未发生违法违规举债和政府性债务风险。</w:t>
      </w:r>
    </w:p>
    <w:p w14:paraId="338B07F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拓宽财政监督：细化内部控制制度，开展财会监督和财经纪律重点问题监督检查等专项整治，全面排查风险隐患，加强财政科学管理。推进电子采购，完成168个政府采购项目，节约资金957万元。狠抓财审质效，组织开展政府投资工程预结算评审项目197个，送审金额212372万元，核减金额16499万元。</w:t>
      </w:r>
    </w:p>
    <w:p w14:paraId="46EC82A9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.财政平稳运行</w:t>
      </w:r>
    </w:p>
    <w:p w14:paraId="60E433F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收入组织有力：2024年一般公共预算收入完成297112万元，总量居全市第二。积极争取上级资金，共计争取20263万元，其中债券资金3470万元，上级转移支付资金16793万元。</w:t>
      </w:r>
    </w:p>
    <w:p w14:paraId="0A586A3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保障重大项目：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加大财政涉农资金投入，完成农林水支出64685万元，全面落实强农惠农政策措施，投入1460万元用于政策性保险和地方特色农业保险保费补贴，投资1304万元实施“一事一议”财政奖补项目45个，改善了人居环境。</w:t>
      </w:r>
    </w:p>
    <w:p w14:paraId="32ED51FB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.增进人民福祉</w:t>
      </w:r>
    </w:p>
    <w:p w14:paraId="4FEEF69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教育保障：全县教育支出39349万元，拨付城乡义务教育补助经费13384万元，加大农村校舍维修改造力度，改善中小学寄宿制营养餐，受益学生4694人。</w:t>
      </w:r>
    </w:p>
    <w:p w14:paraId="1FA3A15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保障：全县卫生健康支出18635万元，拨付基本公共卫生服务资金1006万元，医疗服务与保障能力提升资金574万元，专项债券资金1200万元用于县妇幼综合业务用房项目建设，城乡居民医保政府补助标准从每人每年640元提高到670元。</w:t>
      </w:r>
    </w:p>
    <w:p w14:paraId="138EA0D8">
      <w:pPr>
        <w:ind w:firstLine="640" w:firstLineChars="200"/>
        <w:rPr>
          <w:rFonts w:ascii="楷体_GB2312" w:hAnsi="黑体" w:eastAsia="楷体_GB2312" w:cs="仿宋_GB2312"/>
          <w:sz w:val="32"/>
          <w:szCs w:val="32"/>
        </w:rPr>
      </w:pPr>
      <w:r>
        <w:rPr>
          <w:rFonts w:hint="eastAsia" w:ascii="楷体_GB2312" w:hAnsi="黑体" w:eastAsia="楷体_GB2312" w:cs="仿宋_GB2312"/>
          <w:sz w:val="32"/>
          <w:szCs w:val="32"/>
        </w:rPr>
        <w:t>（</w:t>
      </w:r>
      <w:r>
        <w:rPr>
          <w:rFonts w:hint="eastAsia" w:ascii="楷体_GB2312" w:hAnsi="黑体" w:eastAsia="楷体_GB2312" w:cs="仿宋_GB2312"/>
          <w:sz w:val="32"/>
          <w:szCs w:val="32"/>
          <w:lang w:eastAsia="zh-CN"/>
        </w:rPr>
        <w:t>二</w:t>
      </w:r>
      <w:r>
        <w:rPr>
          <w:rFonts w:hint="eastAsia" w:ascii="楷体_GB2312" w:hAnsi="黑体" w:eastAsia="楷体_GB2312" w:cs="仿宋_GB2312"/>
          <w:sz w:val="32"/>
          <w:szCs w:val="32"/>
        </w:rPr>
        <w:t>）财政监督管理情况</w:t>
      </w:r>
    </w:p>
    <w:p w14:paraId="76A2167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多元监督体系：构建财政部门内部监督、审计监督、纪检监察监督以及社会监督相结合的多元监督体系。财政部门加强对预算单位资金使用情况的日常监督检查；审计部门定期开展专项审计和经济责任审计；纪检监察部门强化对财政资金管理领域违纪违法行为的查处；同时，鼓励社会公众、媒体等参与监督，形成全方位、多层次的监督格局。财政监管的加强，使得财政资金的使用更加规范透明，专项资金专款专用得到有效落实，资金使用效益明显提升，如扶贫资金的精准使用，有力推动了脱贫攻坚目标的实现。</w:t>
      </w:r>
    </w:p>
    <w:p w14:paraId="7B022D8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信息化监管：充分利用现代信息技术，搭建财政监管信息平台，实现财政资金运行全过程的动态监控。通过将预算编制、执行、支付等环节纳入信息系统，实时采集和分析数据，及时发现异常情况和潜在风险，并采取相应的措施进行防范和处理。信息化监管手段的运用，提高了监管工作的效率和准确性。同时，通过大数据分析等技术，能够对海量的财政数据进行深度挖掘和分析，为监管决策提供有力支持，实现了从被动监管向主动监管、从事后监管向事前事中监管的转变。</w:t>
      </w:r>
    </w:p>
    <w:p w14:paraId="436368AB">
      <w:pPr>
        <w:ind w:firstLine="640" w:firstLineChars="200"/>
        <w:rPr>
          <w:rFonts w:ascii="楷体_GB2312" w:hAnsi="黑体" w:eastAsia="楷体_GB2312" w:cs="仿宋_GB2312"/>
          <w:sz w:val="32"/>
          <w:szCs w:val="32"/>
        </w:rPr>
      </w:pPr>
      <w:r>
        <w:rPr>
          <w:rFonts w:hint="eastAsia" w:ascii="楷体_GB2312" w:hAnsi="黑体" w:eastAsia="楷体_GB2312" w:cs="仿宋_GB2312"/>
          <w:sz w:val="32"/>
          <w:szCs w:val="32"/>
        </w:rPr>
        <w:t>（</w:t>
      </w:r>
      <w:r>
        <w:rPr>
          <w:rFonts w:hint="eastAsia" w:ascii="楷体_GB2312" w:hAnsi="黑体" w:eastAsia="楷体_GB2312" w:cs="仿宋_GB2312"/>
          <w:sz w:val="32"/>
          <w:szCs w:val="32"/>
          <w:lang w:eastAsia="zh-CN"/>
        </w:rPr>
        <w:t>三</w:t>
      </w:r>
      <w:r>
        <w:rPr>
          <w:rFonts w:hint="eastAsia" w:ascii="楷体_GB2312" w:hAnsi="黑体" w:eastAsia="楷体_GB2312" w:cs="仿宋_GB2312"/>
          <w:sz w:val="32"/>
          <w:szCs w:val="32"/>
        </w:rPr>
        <w:t>）绩效管理的情况</w:t>
      </w:r>
    </w:p>
    <w:p w14:paraId="75B78EA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制度体系建设：制定本级《沁源县全面实施预算绩效管理实施细则（试行）》、《县级项目支出绩效评价管理办法》、《沁源县本级预算绩效管理结果应用方案》等，明确部门职责、操作流程及评价标准。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形成“评价-反馈-整改-应用”闭环管理，部门绩效意识显著增强。</w:t>
      </w:r>
    </w:p>
    <w:p w14:paraId="439B0C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管理：事前对于新增500万元以上资金的项目需提供事前绩效评估报告，新增1000万元以上资金的项目由部门聘请第三方出具事前绩效评估报告，对未提供事前评估报告或者评估结果为不予支持的，不得纳入财政项目库。2024年，年初预算项目事前绩效评估13个，涉及资金27663.34万元，项目类型涵盖基础设施、农村供水保障、生态水系治理等领域；事中开展绩效运行监控（定期监控、日常监控）；事后对2023年度预算安排的重大民生工程、政府性基金、社保基金、专项债券等项目开展重点绩效评价35个，涉及资金64152.77万元。通过绩效评价结果应用，整体提升了预算资金使用效率。</w:t>
      </w:r>
    </w:p>
    <w:p w14:paraId="6E5824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设定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绩效目标。在绩效理念的引导下，预算单位在编制预算时更加注重设定科学合理的绩效目标，目标与项目实际需求紧密结合，能够准确反映项目的预期产出和效益。</w:t>
      </w:r>
    </w:p>
    <w:p w14:paraId="3ACE4E3D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</w:rPr>
        <w:t>、一般公共预算“三公”经费决算执行情况说明</w:t>
      </w:r>
    </w:p>
    <w:p w14:paraId="58ED880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2024年行政事业单位财政拨款“三公”经费支出593.06万元（包括基本支出和项目支出安排的经费），比预算数减少70.81万元。其中：</w:t>
      </w:r>
    </w:p>
    <w:p w14:paraId="2EFFF31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公务接待费166.97万元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比预算数增加64.1万元；</w:t>
      </w:r>
    </w:p>
    <w:p w14:paraId="2BCC1D2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公务用车购置及运行维护费426.09万元（其中：公务用车购置费146.28万元，运行维护费279.81万元），比预算减少134.91万元。</w:t>
      </w:r>
    </w:p>
    <w:p w14:paraId="2B9B706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F79A09C">
      <w:pPr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88FB9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DB02BC9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A0599"/>
    <w:multiLevelType w:val="singleLevel"/>
    <w:tmpl w:val="A91A05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A82DE1"/>
    <w:multiLevelType w:val="singleLevel"/>
    <w:tmpl w:val="4FA82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6952C6"/>
    <w:rsid w:val="000868DF"/>
    <w:rsid w:val="00181772"/>
    <w:rsid w:val="00202C59"/>
    <w:rsid w:val="00222D36"/>
    <w:rsid w:val="002457D0"/>
    <w:rsid w:val="002C0315"/>
    <w:rsid w:val="003B5402"/>
    <w:rsid w:val="004E0456"/>
    <w:rsid w:val="005D16A5"/>
    <w:rsid w:val="00720436"/>
    <w:rsid w:val="0081256B"/>
    <w:rsid w:val="00837885"/>
    <w:rsid w:val="00910D04"/>
    <w:rsid w:val="009466AE"/>
    <w:rsid w:val="00A12259"/>
    <w:rsid w:val="00AD0D72"/>
    <w:rsid w:val="00AD5A3B"/>
    <w:rsid w:val="00B12266"/>
    <w:rsid w:val="00C93540"/>
    <w:rsid w:val="00DA2D18"/>
    <w:rsid w:val="00E37EAF"/>
    <w:rsid w:val="00E74FAC"/>
    <w:rsid w:val="00ED6F0E"/>
    <w:rsid w:val="00F047E9"/>
    <w:rsid w:val="00F41290"/>
    <w:rsid w:val="00FB69EA"/>
    <w:rsid w:val="02BD45F7"/>
    <w:rsid w:val="05750484"/>
    <w:rsid w:val="06293905"/>
    <w:rsid w:val="0A4078C6"/>
    <w:rsid w:val="0AB42C3E"/>
    <w:rsid w:val="0DB37254"/>
    <w:rsid w:val="0F435E07"/>
    <w:rsid w:val="11173EC6"/>
    <w:rsid w:val="16A93803"/>
    <w:rsid w:val="17CA46B1"/>
    <w:rsid w:val="1AC86051"/>
    <w:rsid w:val="1DED31DE"/>
    <w:rsid w:val="2297354C"/>
    <w:rsid w:val="268632F2"/>
    <w:rsid w:val="2AA47C12"/>
    <w:rsid w:val="2BB173D5"/>
    <w:rsid w:val="2BFC0486"/>
    <w:rsid w:val="2D142369"/>
    <w:rsid w:val="34D96ED8"/>
    <w:rsid w:val="37F8500E"/>
    <w:rsid w:val="38142E3A"/>
    <w:rsid w:val="3A070042"/>
    <w:rsid w:val="3EAB41B0"/>
    <w:rsid w:val="3F572FAD"/>
    <w:rsid w:val="430D0A92"/>
    <w:rsid w:val="46EF1EC9"/>
    <w:rsid w:val="4EAB2669"/>
    <w:rsid w:val="516952C6"/>
    <w:rsid w:val="558646EF"/>
    <w:rsid w:val="56262642"/>
    <w:rsid w:val="56F63C52"/>
    <w:rsid w:val="5B864725"/>
    <w:rsid w:val="5DC51E56"/>
    <w:rsid w:val="660B44C9"/>
    <w:rsid w:val="67A16134"/>
    <w:rsid w:val="6BA51E03"/>
    <w:rsid w:val="6DFF3A4C"/>
    <w:rsid w:val="6F90084A"/>
    <w:rsid w:val="76E2261E"/>
    <w:rsid w:val="781B6C1C"/>
    <w:rsid w:val="7E28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3018</Words>
  <Characters>3596</Characters>
  <Lines>33</Lines>
  <Paragraphs>9</Paragraphs>
  <TotalTime>1</TotalTime>
  <ScaleCrop>false</ScaleCrop>
  <LinksUpToDate>false</LinksUpToDate>
  <CharactersWithSpaces>3601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2025-08-15T03:24:00Z</dcterms:created>
  <dc:creator>Administrator</dc:creator>
  <cp:lastModifiedBy>爬爬</cp:lastModifiedBy>
  <cp:lastPrinted>2025-08-26T10:47:00Z</cp:lastPrinted>
  <dcterms:modified xsi:type="dcterms:W3CDTF">2025-08-29T10:12:05Z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63EDA05DED534B1BB84002870AABF85C_11</vt:lpwstr>
  </property>
  <property fmtid="{D5CDD505-2E9C-101B-9397-08002B2CF9AE}" pid="4" name="KSOTemplateDocerSaveRecord">
    <vt:lpwstr>eyJoZGlkIjoiNDk1ODNmYmMyM2IxNmY2MjMyMGM0MjVmOWIyY2U1MmMifQ==</vt:lpwstr>
  </property>
</Properties>
</file>