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2023年度转移支付情况说明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/>
          <w:color w:val="auto"/>
          <w:sz w:val="32"/>
          <w:szCs w:val="32"/>
        </w:rPr>
        <w:t>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97801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其中：返还性收入-340万元，一般性转移支付收入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82407</w:t>
      </w:r>
      <w:r>
        <w:rPr>
          <w:rFonts w:hint="eastAsia" w:ascii="仿宋" w:hAnsi="仿宋" w:eastAsia="仿宋"/>
          <w:color w:val="auto"/>
          <w:sz w:val="32"/>
          <w:szCs w:val="32"/>
        </w:rPr>
        <w:t>万元，专项转移支付收入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15734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滚存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结转下年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25019万元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hd w:val="solid" w:color="FFFFFF" w:fill="auto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2023年政府性基金转移性支付收入2815万元，滚存结转下年1118万元。</w:t>
      </w:r>
    </w:p>
    <w:p>
      <w:pPr>
        <w:shd w:val="solid" w:color="FFFFFF" w:fill="auto"/>
        <w:snapToGrid w:val="0"/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2023年国有资本经营转移性支付收入4万元，滚存结转下年3万元。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79DB"/>
    <w:rsid w:val="0173640D"/>
    <w:rsid w:val="0BBC79DB"/>
    <w:rsid w:val="3F937C15"/>
    <w:rsid w:val="74A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2022-08-10T01:54:00Z</dcterms:created>
  <dc:creator>Administrator</dc:creator>
  <cp:lastModifiedBy>Administrator</cp:lastModifiedBy>
  <dcterms:modified xsi:type="dcterms:W3CDTF">2024-09-24T03:05:20Z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