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hd w:val="solid" w:color="FFFFFF" w:fill="auto"/>
        <w:snapToGrid w:val="0"/>
        <w:spacing w:line="560" w:lineRule="exact"/>
        <w:jc w:val="center"/>
        <w:rPr>
          <w:rFonts w:hint="default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沁源县2022年</w:t>
      </w:r>
    </w:p>
    <w:p>
      <w:pPr>
        <w:numPr>
          <w:ilvl w:val="0"/>
          <w:numId w:val="0"/>
        </w:numPr>
        <w:shd w:val="solid" w:color="FFFFFF" w:fill="auto"/>
        <w:snapToGrid w:val="0"/>
        <w:spacing w:line="560" w:lineRule="exact"/>
        <w:jc w:val="center"/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公开重大政策和重点项目等绩效目标</w:t>
      </w:r>
    </w:p>
    <w:p>
      <w:pPr>
        <w:numPr>
          <w:ilvl w:val="0"/>
          <w:numId w:val="0"/>
        </w:numPr>
        <w:shd w:val="solid" w:color="FFFFFF" w:fill="auto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/>
        </w:rPr>
        <w:t>情况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说明</w:t>
      </w:r>
    </w:p>
    <w:p>
      <w:pPr>
        <w:numPr>
          <w:ilvl w:val="0"/>
          <w:numId w:val="0"/>
        </w:numPr>
        <w:shd w:val="solid" w:color="FFFFFF" w:fill="auto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theme="minorBidi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sz w:val="32"/>
          <w:szCs w:val="32"/>
          <w:lang w:val="en-US" w:eastAsia="zh-CN"/>
        </w:rPr>
        <w:t>2022年，我局不断夯实预算绩效管理基础，在制定出台《沁源县本级预算绩效管理结果应用暂行办法》《沁源县预算支出绩效运行监控管理办法》等文件的同时，积极开展绩效自评和县级财政重点绩效评价等工作，有效提高了我县财政资金使用效益。一年来，我县对2022年的项目绩效自评实现全覆盖，预算单位已全部完成绩效自评，共计1166条，涉及资金138671.85万元；确定2022年重点项目绩效评价共18个项目，金额合计40206.26万元。评价等级为“优”的3个，评价等级为“良”的13个，评价等级为“中”的2个，已远超市局要求。将2022年统筹整合资金全部纳入绩效评价的范围，共计17个项目，金额总计10523.48万元。其中4个项目评分结果等级为“优”，12个项目评分结果等级为“良”，1个项目评分结果等级为“中”，绩效评价工作已经全部完成。</w:t>
      </w:r>
    </w:p>
    <w:tbl>
      <w:tblPr>
        <w:tblStyle w:val="2"/>
        <w:tblW w:w="500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1387"/>
        <w:gridCol w:w="2083"/>
        <w:gridCol w:w="1"/>
        <w:gridCol w:w="1388"/>
        <w:gridCol w:w="696"/>
        <w:gridCol w:w="693"/>
        <w:gridCol w:w="139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2022年重点绩效评价项目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金额(万元)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教育局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城南幼儿园建设项目地方政府专项债券资金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500.00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专项债券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沁源经济技术开发区污水处理厂项目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3,000.00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专项债券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金额(万元)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土地收储资金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11,165.10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政府性基金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公安局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辅警工资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1,428.79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政府购买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司法局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辅警人员工资、保险、服务费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208.95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政府购买服务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人社局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2022年城乡居民基础养老金县级补助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576.00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社会保险基金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综合股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2022年一事一议资金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793.47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卫体局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方舱隔离点建设项目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1,311.84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交通局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水毁修复重建工程项目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2,779.76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交通局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拨付2019“四好农村路”建设资金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984.10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交通局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(公路段)“百草-小岭底、水峪-新店上、新店上-兴盛”路面改造工程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1,062.30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交通局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丁家湾至垣上道路改造工程资金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1,080.00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商务发展中心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2022年下半年沁源县数字消费券发放资金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850.00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党校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党校办学设施建设及配套工程建设项目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9,218.75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融媒体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融媒体应急广播系统建设项目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505.55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发改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沁河源头生态修复及水环境治理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3,392.08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环保局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棉伏线“六乱”环境综合整治资金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266.15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粮食局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粮食服务中心2.5万吨标准化储备仓建设项目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1,083.42</w:t>
            </w:r>
          </w:p>
        </w:tc>
        <w:tc>
          <w:tcPr>
            <w:tcW w:w="8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40,206.26</w:t>
            </w: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ind w:firstLine="64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A2B65"/>
    <w:rsid w:val="22B220DC"/>
    <w:rsid w:val="2684104B"/>
    <w:rsid w:val="348963D9"/>
    <w:rsid w:val="36ED5995"/>
    <w:rsid w:val="3B247B4C"/>
    <w:rsid w:val="470660EB"/>
    <w:rsid w:val="59FC7A4D"/>
    <w:rsid w:val="7609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2023-09-14T02:01:00Z</dcterms:created>
  <dc:creator>Administrator</dc:creator>
  <cp:lastModifiedBy>Administrator</cp:lastModifiedBy>
  <cp:lastPrinted>2023-09-14T02:13:00Z</cp:lastPrinted>
  <dcterms:modified xsi:type="dcterms:W3CDTF">2023-09-15T06:50:00Z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