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2022年度地方政府债务限额及余额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限额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137300万元，</w:t>
      </w:r>
      <w:r>
        <w:rPr>
          <w:rFonts w:hint="eastAsia" w:ascii="仿宋" w:hAnsi="仿宋" w:eastAsia="仿宋"/>
          <w:color w:val="auto"/>
          <w:sz w:val="32"/>
          <w:szCs w:val="32"/>
        </w:rPr>
        <w:t>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137300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80859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本年无债务还本支出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118800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本年新增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</w:t>
      </w:r>
      <w:r>
        <w:rPr>
          <w:rFonts w:hint="eastAsia" w:ascii="仿宋" w:hAnsi="仿宋" w:eastAsia="仿宋"/>
          <w:color w:val="auto"/>
          <w:sz w:val="32"/>
          <w:szCs w:val="32"/>
        </w:rPr>
        <w:t>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2859万元全部结转下年使用，新增专项债务</w:t>
      </w:r>
      <w:r>
        <w:rPr>
          <w:rFonts w:hint="eastAsia" w:ascii="仿宋" w:hAnsi="仿宋" w:eastAsia="仿宋"/>
          <w:color w:val="auto"/>
          <w:sz w:val="32"/>
          <w:szCs w:val="32"/>
        </w:rPr>
        <w:t>已经全部用于相关项目建设。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  <w:rsid w:val="329D414F"/>
    <w:rsid w:val="48F9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2023-09-14T01:51:49Z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