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沁源县卫生健康和体育局</w:t>
      </w:r>
    </w:p>
    <w:p>
      <w:pPr>
        <w:spacing w:after="0" w:line="60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2018年度部门决算公开</w:t>
      </w:r>
    </w:p>
    <w:p>
      <w:pPr>
        <w:adjustRightInd/>
        <w:spacing w:after="0" w:line="600" w:lineRule="exact"/>
        <w:ind w:firstLine="643" w:firstLineChars="200"/>
        <w:jc w:val="both"/>
        <w:rPr>
          <w:rFonts w:ascii="仿宋_GB2312" w:hAnsi="宋体" w:eastAsia="仿宋_GB2312" w:cs="宋体"/>
          <w:b/>
          <w:bCs/>
          <w:color w:val="000000"/>
          <w:sz w:val="32"/>
          <w:szCs w:val="32"/>
        </w:rPr>
      </w:pPr>
    </w:p>
    <w:p>
      <w:pPr>
        <w:adjustRightInd/>
        <w:spacing w:after="0" w:line="580" w:lineRule="exact"/>
        <w:ind w:firstLine="640" w:firstLineChars="200"/>
        <w:jc w:val="both"/>
        <w:rPr>
          <w:rFonts w:ascii="黑体" w:hAnsi="黑体" w:eastAsia="黑体" w:cs="宋体"/>
          <w:color w:val="000000"/>
          <w:sz w:val="24"/>
          <w:szCs w:val="24"/>
        </w:rPr>
      </w:pPr>
      <w:r>
        <w:rPr>
          <w:rFonts w:hint="eastAsia" w:ascii="黑体" w:hAnsi="黑体" w:eastAsia="黑体" w:cs="宋体"/>
          <w:color w:val="000000"/>
          <w:sz w:val="32"/>
          <w:szCs w:val="32"/>
        </w:rPr>
        <w:t xml:space="preserve">第一部分 </w:t>
      </w:r>
      <w:r>
        <w:rPr>
          <w:rFonts w:hint="eastAsia" w:ascii="宋体" w:hAnsi="宋体" w:eastAsia="黑体" w:cs="宋体"/>
          <w:color w:val="000000"/>
          <w:sz w:val="32"/>
          <w:szCs w:val="32"/>
        </w:rPr>
        <w:t>   </w:t>
      </w:r>
      <w:r>
        <w:rPr>
          <w:rFonts w:hint="eastAsia" w:ascii="黑体" w:hAnsi="黑体" w:eastAsia="黑体" w:cs="宋体"/>
          <w:color w:val="000000"/>
          <w:sz w:val="32"/>
          <w:szCs w:val="32"/>
        </w:rPr>
        <w:t>概况</w:t>
      </w:r>
    </w:p>
    <w:p>
      <w:pPr>
        <w:adjustRightInd/>
        <w:spacing w:after="0" w:line="580" w:lineRule="exact"/>
        <w:ind w:firstLine="643" w:firstLineChars="200"/>
        <w:jc w:val="both"/>
        <w:rPr>
          <w:rFonts w:ascii="楷体" w:hAnsi="楷体" w:eastAsia="楷体" w:cs="宋体"/>
          <w:b/>
          <w:color w:val="000000"/>
          <w:sz w:val="32"/>
          <w:szCs w:val="32"/>
        </w:rPr>
      </w:pPr>
      <w:r>
        <w:rPr>
          <w:rFonts w:hint="eastAsia" w:ascii="楷体" w:hAnsi="楷体" w:eastAsia="楷体" w:cs="宋体"/>
          <w:b/>
          <w:color w:val="000000"/>
          <w:sz w:val="32"/>
          <w:szCs w:val="32"/>
        </w:rPr>
        <w:t>一、主要职能</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一)贯彻执行党和国家国民健康方针政策,拟订卫生健康和体育事业发展政策、规划,负责职责范围内的标准化工作。统筹规划卫生健康和体育资源配置。制定并组织实施推进卫生健康和体育基本公共服务均等化、普惠化、便捷化和公共资源向基层延伸等政策措施。</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(二)协调推进深化医药卫生体制改革,研究提出深化医</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药卫生体制改革重大方针、政策、措施的建议。组织开展分级诊疗制度建设,制定并组织实施推动卫生健康公共服务提供主体多元化、提供方式多样化的政策措施,组织深化公立医院综合改革,推进管办分离,健全现代医院管理制度,提出医疗服务和药品价格政策的建议,协调推进药品供应保障制度建设。组织医疗卫生行业综合监管制度建设。</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三)负责制定疾病预防控制规划、免疫规划以及严重危害人民健康公共卫生问题的干预措施并组织落实,执行国家检疫传染病和监测传染病目录。负责卫生应急工作,组织指导突发公共卫生事件的预防控制和各类突发公共事件的医疗卫生救援。负责职业安全健康监督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(四)组织拟订并协调落实应对人口老龄化政策措施,负责推进老年健康服务体系建设和医养结合工作。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五)贯彻落实国家、省、市、县药物政策和国家、省、市、县基本药物制度,实施基本药物目录,开展药品使用监测、临床综合评价和短缺药品预警,提出基本药物价格政策的建议。落实食品安全地方标准,组织开展食品安全风险监测。</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六)负责制定职责范围内的职业卫生、放射卫生、环境卫生、学校卫生、公共场所卫生、饮用水卫生管理规范、标准和政策措施,组织开展相关监测、调查、评估和监督管理,负责传染病防治监督,建立健全卫生健康综合监督体系。</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七)负责制定医疗机构、医疗服务行业管理办法并监督实施,建立医疗服务评价和监督管理体系。制定医疗机构及其医疗服务、医疗技术、医疗质量、医疗安全以及采供血机构管理的规范、标准并组织实施,会同有关部门贯彻执行国家卫生健康专业技术人员资格标准,组织实施卫生健康专业技术人员执业规则和服务规范。</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 xml:space="preserve"> (八)负责计划生育管理和服务工作,开展人口监测预警,研究提出人口与家庭发展相关政策建议,完善计划生育政策。</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九)负责拟订基层医疗卫生、妇幼健康和体育事业发展规划和政策措施,指导基层医疗卫生、妇幼健康和体育运动服务体系建设和全科医生队伍建设。拟订并组织实施卫生健康和体育科技发展规划,推进卫生健康和体育科技创新发展。</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(十)承担全县中医药管理工作。制定并组织实施全县中医药事业发展规划。加强中医药行业监督管理,统筹推进中医药振兴工作。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(十一)负责卫生健康宣传、健康教育、健康促进等工作,牵头《烟草控制框架公约》履约有关工作。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(十二)负责保健对象的医疗保健工作,负责重要会议与重大活动的医疗卫生保障工作。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(十三)研究拟订并组织实施全县体育发展战略，负责推进全民健康计划，统筹规划全县竞技体育发展，制定体育教育规划，发展体育教育。</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(十四)承担县爱国卫生运动委员会、老龄工作委员会、县防治艾滋病工作委员会、县地方病防治领导小组的日常工作,指导县计划生育协会的业务工作。</w:t>
      </w:r>
    </w:p>
    <w:p>
      <w:pPr>
        <w:autoSpaceDE w:val="0"/>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(十五)完成县委、县政府交办的其他任务。</w:t>
      </w:r>
    </w:p>
    <w:p>
      <w:pPr>
        <w:adjustRightInd/>
        <w:spacing w:after="0" w:line="580" w:lineRule="exact"/>
        <w:ind w:firstLine="643" w:firstLineChars="200"/>
        <w:jc w:val="both"/>
        <w:rPr>
          <w:rFonts w:ascii="楷体" w:hAnsi="楷体" w:eastAsia="楷体" w:cs="宋体"/>
          <w:b/>
          <w:color w:val="000000"/>
          <w:sz w:val="32"/>
          <w:szCs w:val="32"/>
        </w:rPr>
      </w:pPr>
      <w:r>
        <w:rPr>
          <w:rFonts w:hint="eastAsia" w:ascii="楷体" w:hAnsi="楷体" w:eastAsia="楷体" w:cs="宋体"/>
          <w:b/>
          <w:color w:val="000000"/>
          <w:sz w:val="32"/>
          <w:szCs w:val="32"/>
        </w:rPr>
        <w:t>二、部门决算单位构成</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卫体局机关行政编制8名（局长1名,副局长2名,股级领导职数5名），编制内设办公室、行政审批股、医政医管股(中医科)、基层卫生健康股和妇幼健康计生指导股5个股室。另外沁源县计生协会、沁源县流动人口计划生育管理服务中心与县卫体局合署办公。</w:t>
      </w:r>
    </w:p>
    <w:p>
      <w:pPr>
        <w:adjustRightInd/>
        <w:spacing w:after="0" w:line="580" w:lineRule="exact"/>
        <w:ind w:firstLine="640" w:firstLineChars="200"/>
        <w:jc w:val="both"/>
        <w:rPr>
          <w:rFonts w:hint="eastAsia" w:ascii="仿宋" w:hAnsi="仿宋" w:eastAsia="仿宋" w:cs="宋体"/>
          <w:color w:val="000000"/>
          <w:sz w:val="32"/>
          <w:szCs w:val="32"/>
        </w:rPr>
      </w:pPr>
      <w:r>
        <w:rPr>
          <w:rFonts w:hint="eastAsia" w:ascii="仿宋" w:hAnsi="仿宋" w:eastAsia="仿宋" w:cs="宋体"/>
          <w:color w:val="000000"/>
          <w:sz w:val="32"/>
          <w:szCs w:val="32"/>
        </w:rPr>
        <w:t>系统下属机构有：沁源县人民医院、沁源县第二人民医院、沁源县中医医院、沁源县妇幼保健计划生育服务中心、沁源县疾病预防控制中心、沁源县卫生局卫生监督所、沁源县爱国卫生督查中心、14个乡镇卫生院和14个妇幼保健计划生育服务站。</w:t>
      </w:r>
    </w:p>
    <w:p>
      <w:pPr>
        <w:adjustRightInd/>
        <w:spacing w:after="0" w:line="580" w:lineRule="exact"/>
        <w:ind w:firstLine="643" w:firstLineChars="200"/>
        <w:jc w:val="both"/>
        <w:rPr>
          <w:rFonts w:hint="eastAsia" w:ascii="楷体" w:hAnsi="楷体" w:eastAsia="楷体" w:cs="宋体"/>
          <w:b/>
          <w:color w:val="000000"/>
          <w:sz w:val="32"/>
          <w:szCs w:val="32"/>
          <w:lang w:val="en-US" w:eastAsia="zh-CN"/>
        </w:rPr>
      </w:pPr>
      <w:r>
        <w:rPr>
          <w:rFonts w:hint="eastAsia" w:ascii="楷体" w:hAnsi="楷体" w:eastAsia="楷体" w:cs="宋体"/>
          <w:b/>
          <w:color w:val="000000"/>
          <w:sz w:val="32"/>
          <w:szCs w:val="32"/>
        </w:rPr>
        <w:t>二、部门决算</w:t>
      </w:r>
      <w:r>
        <w:rPr>
          <w:rFonts w:hint="eastAsia" w:ascii="楷体" w:hAnsi="楷体" w:eastAsia="楷体" w:cs="宋体"/>
          <w:b/>
          <w:color w:val="000000"/>
          <w:sz w:val="32"/>
          <w:szCs w:val="32"/>
          <w:lang w:eastAsia="zh-CN"/>
        </w:rPr>
        <w:t>编报范围</w:t>
      </w:r>
    </w:p>
    <w:p>
      <w:pPr>
        <w:adjustRightInd/>
        <w:spacing w:after="0" w:line="580" w:lineRule="exact"/>
        <w:ind w:firstLine="640" w:firstLineChars="200"/>
        <w:jc w:val="both"/>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eastAsia="zh-CN"/>
        </w:rPr>
        <w:t>沁源县卫生和计划生育局一级预算单位和</w:t>
      </w:r>
      <w:r>
        <w:rPr>
          <w:rFonts w:hint="eastAsia" w:ascii="仿宋" w:hAnsi="仿宋" w:eastAsia="仿宋" w:cs="宋体"/>
          <w:color w:val="000000"/>
          <w:sz w:val="32"/>
          <w:szCs w:val="32"/>
          <w:lang w:val="en-US" w:eastAsia="zh-CN"/>
        </w:rPr>
        <w:t>22个二级预算单位。</w:t>
      </w:r>
    </w:p>
    <w:p>
      <w:pPr>
        <w:adjustRightInd/>
        <w:spacing w:after="0" w:line="580" w:lineRule="exact"/>
        <w:ind w:firstLine="640" w:firstLineChars="200"/>
        <w:jc w:val="both"/>
        <w:rPr>
          <w:rFonts w:ascii="黑体" w:hAnsi="黑体" w:eastAsia="黑体" w:cs="宋体"/>
          <w:color w:val="000000"/>
          <w:sz w:val="32"/>
          <w:szCs w:val="32"/>
        </w:rPr>
      </w:pPr>
      <w:r>
        <w:rPr>
          <w:rFonts w:hint="eastAsia" w:ascii="黑体" w:hAnsi="黑体" w:eastAsia="黑体" w:cs="宋体"/>
          <w:color w:val="000000"/>
          <w:sz w:val="32"/>
          <w:szCs w:val="32"/>
        </w:rPr>
        <w:t xml:space="preserve">第二部分 </w:t>
      </w:r>
      <w:r>
        <w:rPr>
          <w:rFonts w:hint="eastAsia" w:ascii="宋体" w:hAnsi="宋体" w:eastAsia="宋体" w:cs="宋体"/>
          <w:color w:val="000000"/>
          <w:sz w:val="32"/>
          <w:szCs w:val="32"/>
        </w:rPr>
        <w:t> </w:t>
      </w:r>
      <w:r>
        <w:rPr>
          <w:rFonts w:hint="eastAsia" w:ascii="黑体" w:hAnsi="黑体" w:eastAsia="黑体" w:cs="黑体"/>
          <w:color w:val="000000"/>
          <w:sz w:val="32"/>
          <w:szCs w:val="32"/>
        </w:rPr>
        <w:t>2018</w:t>
      </w:r>
      <w:r>
        <w:rPr>
          <w:rFonts w:hint="eastAsia" w:ascii="黑体" w:hAnsi="黑体" w:eastAsia="黑体" w:cs="宋体"/>
          <w:color w:val="000000"/>
          <w:sz w:val="32"/>
          <w:szCs w:val="32"/>
        </w:rPr>
        <w:t>年度部门决算报表</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1、2018年收入支出决算表</w:t>
      </w:r>
    </w:p>
    <w:tbl>
      <w:tblPr>
        <w:tblStyle w:val="5"/>
        <w:tblW w:w="8800" w:type="dxa"/>
        <w:tblInd w:w="96" w:type="dxa"/>
        <w:tblLayout w:type="fixed"/>
        <w:tblCellMar>
          <w:top w:w="0" w:type="dxa"/>
          <w:left w:w="108" w:type="dxa"/>
          <w:bottom w:w="0" w:type="dxa"/>
          <w:right w:w="108" w:type="dxa"/>
        </w:tblCellMar>
      </w:tblPr>
      <w:tblGrid>
        <w:gridCol w:w="2760"/>
        <w:gridCol w:w="520"/>
        <w:gridCol w:w="1420"/>
        <w:gridCol w:w="2200"/>
        <w:gridCol w:w="540"/>
        <w:gridCol w:w="1360"/>
      </w:tblGrid>
      <w:tr>
        <w:tblPrEx>
          <w:tblLayout w:type="fixed"/>
          <w:tblCellMar>
            <w:top w:w="0" w:type="dxa"/>
            <w:left w:w="108" w:type="dxa"/>
            <w:bottom w:w="0" w:type="dxa"/>
            <w:right w:w="108" w:type="dxa"/>
          </w:tblCellMar>
        </w:tblPrEx>
        <w:trPr>
          <w:trHeight w:val="264" w:hRule="atLeast"/>
        </w:trPr>
        <w:tc>
          <w:tcPr>
            <w:tcW w:w="8800" w:type="dxa"/>
            <w:gridSpan w:val="6"/>
            <w:tcBorders>
              <w:top w:val="nil"/>
              <w:left w:val="nil"/>
              <w:bottom w:val="nil"/>
              <w:right w:val="nil"/>
            </w:tcBorders>
            <w:shd w:val="clear" w:color="auto" w:fill="auto"/>
            <w:noWrap/>
            <w:vAlign w:val="bottom"/>
          </w:tcPr>
          <w:p>
            <w:pPr>
              <w:adjustRightInd/>
              <w:snapToGrid/>
              <w:spacing w:after="0"/>
              <w:jc w:val="center"/>
              <w:rPr>
                <w:rFonts w:ascii="Arial" w:hAnsi="Arial" w:eastAsia="宋体" w:cs="Arial"/>
                <w:color w:val="000000"/>
                <w:sz w:val="16"/>
                <w:szCs w:val="16"/>
              </w:rPr>
            </w:pPr>
            <w:r>
              <w:rPr>
                <w:rFonts w:hint="eastAsia" w:ascii="宋体" w:hAnsi="宋体" w:eastAsia="宋体" w:cs="Arial"/>
                <w:color w:val="000000"/>
                <w:sz w:val="16"/>
                <w:szCs w:val="16"/>
              </w:rPr>
              <w:t>2018年收入支出决算总表</w:t>
            </w:r>
          </w:p>
        </w:tc>
      </w:tr>
      <w:tr>
        <w:tblPrEx>
          <w:tblLayout w:type="fixed"/>
          <w:tblCellMar>
            <w:top w:w="0" w:type="dxa"/>
            <w:left w:w="108" w:type="dxa"/>
            <w:bottom w:w="0" w:type="dxa"/>
            <w:right w:w="108" w:type="dxa"/>
          </w:tblCellMar>
        </w:tblPrEx>
        <w:trPr>
          <w:trHeight w:val="264" w:hRule="atLeast"/>
        </w:trPr>
        <w:tc>
          <w:tcPr>
            <w:tcW w:w="276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52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42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220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54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60" w:type="dxa"/>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公开01表</w:t>
            </w:r>
          </w:p>
        </w:tc>
      </w:tr>
      <w:tr>
        <w:tblPrEx>
          <w:tblLayout w:type="fixed"/>
          <w:tblCellMar>
            <w:top w:w="0" w:type="dxa"/>
            <w:left w:w="108" w:type="dxa"/>
            <w:bottom w:w="0" w:type="dxa"/>
            <w:right w:w="108" w:type="dxa"/>
          </w:tblCellMar>
        </w:tblPrEx>
        <w:trPr>
          <w:trHeight w:val="264" w:hRule="atLeast"/>
        </w:trPr>
        <w:tc>
          <w:tcPr>
            <w:tcW w:w="3280" w:type="dxa"/>
            <w:gridSpan w:val="2"/>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1420" w:type="dxa"/>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2019年8月</w:t>
            </w:r>
          </w:p>
        </w:tc>
        <w:tc>
          <w:tcPr>
            <w:tcW w:w="220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54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60" w:type="dxa"/>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9" w:hRule="atLeast"/>
        </w:trPr>
        <w:tc>
          <w:tcPr>
            <w:tcW w:w="470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收入</w:t>
            </w:r>
          </w:p>
        </w:tc>
        <w:tc>
          <w:tcPr>
            <w:tcW w:w="4100" w:type="dxa"/>
            <w:gridSpan w:val="3"/>
            <w:tcBorders>
              <w:top w:val="single" w:color="000000" w:sz="4" w:space="0"/>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支出</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行次</w:t>
            </w:r>
          </w:p>
        </w:tc>
        <w:tc>
          <w:tcPr>
            <w:tcW w:w="14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金额</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行次</w:t>
            </w:r>
          </w:p>
        </w:tc>
        <w:tc>
          <w:tcPr>
            <w:tcW w:w="1360" w:type="dxa"/>
            <w:tcBorders>
              <w:top w:val="nil"/>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金额</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栏次</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栏次</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　</w:t>
            </w:r>
          </w:p>
        </w:tc>
        <w:tc>
          <w:tcPr>
            <w:tcW w:w="1360" w:type="dxa"/>
            <w:tcBorders>
              <w:top w:val="nil"/>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一、财政拨款收入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97,037,323.33</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一、一般公共服务支出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35</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其中：政府性基金预算财政拨款</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二、外交支出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36</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二、上级补助收入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432,195.00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三、国防支出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37</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三、事业收入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110,399,841.64</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四、公共安全支出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38</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四、经营收入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五、教育支出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39</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五、附属单位上缴收入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六、科学技术支出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40</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六、其他收入</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7</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845,560.99</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七、文化体育与传媒支出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41</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8</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八、社会保障和就业支出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42</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6,139,822.29</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9</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九、医疗卫生与计划生育支出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43</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182,187,470.05</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10</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十、节能环保支出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44</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11</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十一、城乡社区支出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45</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12</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十二、农林水支出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46</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13</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十三、交通运输支出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47</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14</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十四、资源勘探信息等支出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48</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15</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十五、商业服务业等支出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49</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16</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十六、金融支出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50</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17</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十七、援助其他地区支出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51</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18</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十八、国土海洋气象等支出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52</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19</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十九、住房保障支出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53</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二十、粮油物资储备支出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54</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21</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二十一、其他支出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55</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22</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二十二、债务还本支出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56</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23</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二十三、债务付息支出</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57</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本年收入合计</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24</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208,714,920.96</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本年支出合计</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58</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197,009,437.14</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用事业基金弥补收支差额</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25</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结余分配</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59</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11,990,358.05</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年初结转和结余</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26</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5,182,162.60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交纳所得税</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60</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基本支出结转</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27</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359,031.46</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提取职工福利基金</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61</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4,796,144.00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项目支出结转和结余</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28</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4,823,131.14</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转入事业基金</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62</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7,194,214.05</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经营结余</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29</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63</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30</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年末结转和结余</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64</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4,897,288.37</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31</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基本支出结转</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65</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259,080.96</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32</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项目支出结转和结余</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66</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4,638,207.41</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52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33</w:t>
            </w:r>
          </w:p>
        </w:tc>
        <w:tc>
          <w:tcPr>
            <w:tcW w:w="142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2200"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经营结余</w:t>
            </w:r>
          </w:p>
        </w:tc>
        <w:tc>
          <w:tcPr>
            <w:tcW w:w="54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67</w:t>
            </w:r>
          </w:p>
        </w:tc>
        <w:tc>
          <w:tcPr>
            <w:tcW w:w="136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2760" w:type="dxa"/>
            <w:tcBorders>
              <w:top w:val="nil"/>
              <w:left w:val="single" w:color="000000" w:sz="4" w:space="0"/>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总计</w:t>
            </w:r>
          </w:p>
        </w:tc>
        <w:tc>
          <w:tcPr>
            <w:tcW w:w="520"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34</w:t>
            </w:r>
          </w:p>
        </w:tc>
        <w:tc>
          <w:tcPr>
            <w:tcW w:w="1420"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213,897,083.56</w:t>
            </w:r>
          </w:p>
        </w:tc>
        <w:tc>
          <w:tcPr>
            <w:tcW w:w="2200"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总计</w:t>
            </w:r>
          </w:p>
        </w:tc>
        <w:tc>
          <w:tcPr>
            <w:tcW w:w="540"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68</w:t>
            </w:r>
          </w:p>
        </w:tc>
        <w:tc>
          <w:tcPr>
            <w:tcW w:w="1360" w:type="dxa"/>
            <w:tcBorders>
              <w:top w:val="nil"/>
              <w:left w:val="nil"/>
              <w:bottom w:val="single" w:color="000000" w:sz="8"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213,897,083.56</w:t>
            </w:r>
          </w:p>
        </w:tc>
      </w:tr>
      <w:tr>
        <w:tblPrEx>
          <w:tblLayout w:type="fixed"/>
          <w:tblCellMar>
            <w:top w:w="0" w:type="dxa"/>
            <w:left w:w="108" w:type="dxa"/>
            <w:bottom w:w="0" w:type="dxa"/>
            <w:right w:w="108" w:type="dxa"/>
          </w:tblCellMar>
        </w:tblPrEx>
        <w:trPr>
          <w:trHeight w:val="309" w:hRule="atLeast"/>
        </w:trPr>
        <w:tc>
          <w:tcPr>
            <w:tcW w:w="8800" w:type="dxa"/>
            <w:gridSpan w:val="6"/>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注：本表反映部门本年度的总收支和年末结转结余情况。</w:t>
            </w:r>
          </w:p>
        </w:tc>
      </w:tr>
    </w:tbl>
    <w:p>
      <w:pPr>
        <w:adjustRightInd/>
        <w:spacing w:after="0" w:line="580" w:lineRule="exact"/>
        <w:ind w:firstLine="640" w:firstLineChars="200"/>
        <w:jc w:val="both"/>
        <w:rPr>
          <w:rFonts w:ascii="仿宋" w:hAnsi="仿宋" w:eastAsia="仿宋" w:cs="宋体"/>
          <w:color w:val="000000"/>
          <w:sz w:val="32"/>
          <w:szCs w:val="32"/>
        </w:rPr>
      </w:pP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2、2018年收入决算表 </w:t>
      </w:r>
    </w:p>
    <w:tbl>
      <w:tblPr>
        <w:tblStyle w:val="5"/>
        <w:tblW w:w="8426" w:type="dxa"/>
        <w:tblInd w:w="96" w:type="dxa"/>
        <w:tblLayout w:type="fixed"/>
        <w:tblCellMar>
          <w:top w:w="0" w:type="dxa"/>
          <w:left w:w="108" w:type="dxa"/>
          <w:bottom w:w="0" w:type="dxa"/>
          <w:right w:w="108" w:type="dxa"/>
        </w:tblCellMar>
      </w:tblPr>
      <w:tblGrid>
        <w:gridCol w:w="335"/>
        <w:gridCol w:w="334"/>
        <w:gridCol w:w="334"/>
        <w:gridCol w:w="1791"/>
        <w:gridCol w:w="1042"/>
        <w:gridCol w:w="983"/>
        <w:gridCol w:w="806"/>
        <w:gridCol w:w="1042"/>
        <w:gridCol w:w="452"/>
        <w:gridCol w:w="501"/>
        <w:gridCol w:w="806"/>
      </w:tblGrid>
      <w:tr>
        <w:tblPrEx>
          <w:tblLayout w:type="fixed"/>
          <w:tblCellMar>
            <w:top w:w="0" w:type="dxa"/>
            <w:left w:w="108" w:type="dxa"/>
            <w:bottom w:w="0" w:type="dxa"/>
            <w:right w:w="108" w:type="dxa"/>
          </w:tblCellMar>
        </w:tblPrEx>
        <w:trPr>
          <w:trHeight w:val="264" w:hRule="atLeast"/>
        </w:trPr>
        <w:tc>
          <w:tcPr>
            <w:tcW w:w="8426" w:type="dxa"/>
            <w:gridSpan w:val="11"/>
            <w:tcBorders>
              <w:top w:val="nil"/>
              <w:left w:val="nil"/>
              <w:bottom w:val="nil"/>
              <w:right w:val="nil"/>
            </w:tcBorders>
            <w:shd w:val="clear" w:color="auto" w:fill="auto"/>
            <w:noWrap/>
            <w:vAlign w:val="center"/>
          </w:tcPr>
          <w:p>
            <w:pPr>
              <w:adjustRightInd/>
              <w:snapToGrid/>
              <w:spacing w:after="0"/>
              <w:jc w:val="center"/>
              <w:rPr>
                <w:rFonts w:ascii="Arial" w:hAnsi="Arial" w:eastAsia="宋体" w:cs="Arial"/>
                <w:color w:val="000000"/>
                <w:sz w:val="16"/>
                <w:szCs w:val="16"/>
              </w:rPr>
            </w:pPr>
            <w:r>
              <w:rPr>
                <w:rFonts w:hint="eastAsia" w:ascii="宋体" w:hAnsi="宋体" w:eastAsia="宋体" w:cs="Arial"/>
                <w:color w:val="000000"/>
                <w:sz w:val="16"/>
                <w:szCs w:val="16"/>
              </w:rPr>
              <w:t>2018年收入决算表</w:t>
            </w:r>
          </w:p>
        </w:tc>
      </w:tr>
      <w:tr>
        <w:tblPrEx>
          <w:tblLayout w:type="fixed"/>
          <w:tblCellMar>
            <w:top w:w="0" w:type="dxa"/>
            <w:left w:w="108" w:type="dxa"/>
            <w:bottom w:w="0" w:type="dxa"/>
            <w:right w:w="108" w:type="dxa"/>
          </w:tblCellMar>
        </w:tblPrEx>
        <w:trPr>
          <w:trHeight w:val="264" w:hRule="atLeast"/>
        </w:trPr>
        <w:tc>
          <w:tcPr>
            <w:tcW w:w="33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34"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34"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791"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042"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983"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806"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042"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452"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07"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公开02表</w:t>
            </w:r>
          </w:p>
        </w:tc>
      </w:tr>
      <w:tr>
        <w:tblPrEx>
          <w:tblLayout w:type="fixed"/>
          <w:tblCellMar>
            <w:top w:w="0" w:type="dxa"/>
            <w:left w:w="108" w:type="dxa"/>
            <w:bottom w:w="0" w:type="dxa"/>
            <w:right w:w="108" w:type="dxa"/>
          </w:tblCellMar>
        </w:tblPrEx>
        <w:trPr>
          <w:trHeight w:val="264" w:hRule="atLeast"/>
        </w:trPr>
        <w:tc>
          <w:tcPr>
            <w:tcW w:w="3836" w:type="dxa"/>
            <w:gridSpan w:val="5"/>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983"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848" w:type="dxa"/>
            <w:gridSpan w:val="2"/>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r>
              <w:rPr>
                <w:rFonts w:hint="eastAsia" w:ascii="宋体" w:hAnsi="宋体" w:eastAsia="宋体" w:cs="Arial"/>
                <w:color w:val="000000"/>
                <w:sz w:val="16"/>
                <w:szCs w:val="16"/>
              </w:rPr>
              <w:t>2019年8月</w:t>
            </w:r>
          </w:p>
        </w:tc>
        <w:tc>
          <w:tcPr>
            <w:tcW w:w="452"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07"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9" w:hRule="atLeast"/>
        </w:trPr>
        <w:tc>
          <w:tcPr>
            <w:tcW w:w="279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1042"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本年收入合计</w:t>
            </w:r>
          </w:p>
        </w:tc>
        <w:tc>
          <w:tcPr>
            <w:tcW w:w="983"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财政拨款收入</w:t>
            </w:r>
          </w:p>
        </w:tc>
        <w:tc>
          <w:tcPr>
            <w:tcW w:w="806"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上级补助收入</w:t>
            </w:r>
          </w:p>
        </w:tc>
        <w:tc>
          <w:tcPr>
            <w:tcW w:w="1042"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事业收入</w:t>
            </w:r>
          </w:p>
        </w:tc>
        <w:tc>
          <w:tcPr>
            <w:tcW w:w="452"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经营收入</w:t>
            </w:r>
          </w:p>
        </w:tc>
        <w:tc>
          <w:tcPr>
            <w:tcW w:w="501"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附属单位上缴收入</w:t>
            </w:r>
          </w:p>
        </w:tc>
        <w:tc>
          <w:tcPr>
            <w:tcW w:w="806" w:type="dxa"/>
            <w:vMerge w:val="restart"/>
            <w:tcBorders>
              <w:top w:val="single" w:color="000000" w:sz="4" w:space="0"/>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其他收入</w:t>
            </w:r>
          </w:p>
        </w:tc>
      </w:tr>
      <w:tr>
        <w:tblPrEx>
          <w:tblLayout w:type="fixed"/>
          <w:tblCellMar>
            <w:top w:w="0" w:type="dxa"/>
            <w:left w:w="108" w:type="dxa"/>
            <w:bottom w:w="0" w:type="dxa"/>
            <w:right w:w="108" w:type="dxa"/>
          </w:tblCellMar>
        </w:tblPrEx>
        <w:trPr>
          <w:trHeight w:val="312" w:hRule="atLeast"/>
        </w:trPr>
        <w:tc>
          <w:tcPr>
            <w:tcW w:w="100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支出功能分类科目编码</w:t>
            </w:r>
          </w:p>
        </w:tc>
        <w:tc>
          <w:tcPr>
            <w:tcW w:w="1791"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科目名称</w:t>
            </w: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983"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5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50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12" w:hRule="atLeast"/>
        </w:trPr>
        <w:tc>
          <w:tcPr>
            <w:tcW w:w="1003" w:type="dxa"/>
            <w:gridSpan w:val="3"/>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791"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983"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5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50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12" w:hRule="atLeast"/>
        </w:trPr>
        <w:tc>
          <w:tcPr>
            <w:tcW w:w="1003" w:type="dxa"/>
            <w:gridSpan w:val="3"/>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791"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983"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4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52"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50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06"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09" w:hRule="atLeast"/>
        </w:trPr>
        <w:tc>
          <w:tcPr>
            <w:tcW w:w="335" w:type="dxa"/>
            <w:vMerge w:val="restart"/>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类</w:t>
            </w:r>
          </w:p>
        </w:tc>
        <w:tc>
          <w:tcPr>
            <w:tcW w:w="334"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款</w:t>
            </w:r>
          </w:p>
        </w:tc>
        <w:tc>
          <w:tcPr>
            <w:tcW w:w="334"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w:t>
            </w:r>
          </w:p>
        </w:tc>
        <w:tc>
          <w:tcPr>
            <w:tcW w:w="1791"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栏次</w:t>
            </w:r>
          </w:p>
        </w:tc>
        <w:tc>
          <w:tcPr>
            <w:tcW w:w="1042"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983"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806"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1042"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c>
          <w:tcPr>
            <w:tcW w:w="452"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w:t>
            </w:r>
          </w:p>
        </w:tc>
        <w:tc>
          <w:tcPr>
            <w:tcW w:w="501"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w:t>
            </w:r>
          </w:p>
        </w:tc>
        <w:tc>
          <w:tcPr>
            <w:tcW w:w="806" w:type="dxa"/>
            <w:tcBorders>
              <w:top w:val="nil"/>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7</w:t>
            </w:r>
          </w:p>
        </w:tc>
      </w:tr>
      <w:tr>
        <w:tblPrEx>
          <w:tblLayout w:type="fixed"/>
          <w:tblCellMar>
            <w:top w:w="0" w:type="dxa"/>
            <w:left w:w="108" w:type="dxa"/>
            <w:bottom w:w="0" w:type="dxa"/>
            <w:right w:w="108" w:type="dxa"/>
          </w:tblCellMar>
        </w:tblPrEx>
        <w:trPr>
          <w:trHeight w:val="309" w:hRule="atLeast"/>
        </w:trPr>
        <w:tc>
          <w:tcPr>
            <w:tcW w:w="335"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34"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34"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791"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合计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208,714,920.96</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97,037,323.33</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432,195.00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110,399,841.64</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845,560.99</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社会保障和就业支出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行政事业单位离退休</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2080505</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机关事业单位基本养老保险缴费支出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193,953,836.87</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82,276,239.24</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432,195.00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110,399,841.64</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845,560.99</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医疗卫生与计划生育管理事务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3,413,122.00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3,413,122.00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行政运行</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2,913,752.00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2,913,752.00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一般行政管理事务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100,000.00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100,000.00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其他医疗卫生与计划生育管理事务支出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399,370.00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399,370.00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公立医院</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124,890,192.59</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31,981,298.05</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92,367,772.03</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541,122.51</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综合医院</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99,346,714.96</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20,696,941.70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78,113,024.86</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536,748.40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中医(民族)医院</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17,098,794.08</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2,839,672.80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14,254,747.17</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4,374.11</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其他公立医院支出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8,444,683.55</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8,444,683.55</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基层医疗卫生机构</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32,448,170.98</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16,006,928.00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432,195.00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15,713,719.27</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295,328.71</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乡镇卫生院</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32,359,520.98</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15,918,278.00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432,195.00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15,713,719.27</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295,328.71</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其他基层医疗卫生机构支出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88,650.00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88,650.00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公共卫生</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24,242,201.39</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21,914,741.28</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2,318,350.34</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9,109.77</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疾病预防控制机构</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3,150,944.50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3,150,944.50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卫生监督机构</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2,514,976.00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2,514,976.00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2100403</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妇幼保健机构</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4,987,208.11</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2,659,748.00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2,318,350.34</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9,109.77</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2100408</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基本公共卫生服务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8,542,520.00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8,542,520.00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重大公共卫生专项</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1,561,400.00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1,561,400.00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其他公共卫生支出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3,485,152.78</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3,485,152.78</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中医药</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145,000.00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145,000.00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中医（民族医)药专项</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145,000.00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145,000.00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计划生育事务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4,268,790.00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4,268,790.00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2100717</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计划生育服务</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51,840.00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51,840.00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其他计划生育事务支出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4,216,950.00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4,216,950.00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行政事业单位医疗</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行政单位医疗</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事业单位医疗</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其他医疗卫生与计划生育支出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2,005,166.00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2,005,166.00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2,005,166.00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2,005,166.00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节能环保支出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污染防治</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水体</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城乡社区环境卫生</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2120501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城乡社区环境卫生</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5,268,500.00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住房保障支出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w:t>
            </w:r>
          </w:p>
        </w:tc>
        <w:tc>
          <w:tcPr>
            <w:tcW w:w="1791"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住房改革支出</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983"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806"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03" w:type="dxa"/>
            <w:gridSpan w:val="3"/>
            <w:tcBorders>
              <w:top w:val="nil"/>
              <w:left w:val="single" w:color="000000" w:sz="4" w:space="0"/>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2210201</w:t>
            </w:r>
          </w:p>
        </w:tc>
        <w:tc>
          <w:tcPr>
            <w:tcW w:w="1791" w:type="dxa"/>
            <w:tcBorders>
              <w:top w:val="nil"/>
              <w:left w:val="nil"/>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住房公积金</w:t>
            </w:r>
          </w:p>
        </w:tc>
        <w:tc>
          <w:tcPr>
            <w:tcW w:w="1042"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983"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806"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42"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52"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501"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06" w:type="dxa"/>
            <w:tcBorders>
              <w:top w:val="nil"/>
              <w:left w:val="nil"/>
              <w:bottom w:val="single" w:color="000000" w:sz="8"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8426" w:type="dxa"/>
            <w:gridSpan w:val="11"/>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注：本表反映部门本年度取得的各项收入情况。</w:t>
            </w:r>
          </w:p>
        </w:tc>
      </w:tr>
    </w:tbl>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3、2018年支出决算表 </w:t>
      </w:r>
    </w:p>
    <w:tbl>
      <w:tblPr>
        <w:tblStyle w:val="5"/>
        <w:tblW w:w="8426" w:type="dxa"/>
        <w:tblInd w:w="96" w:type="dxa"/>
        <w:tblLayout w:type="fixed"/>
        <w:tblCellMar>
          <w:top w:w="0" w:type="dxa"/>
          <w:left w:w="108" w:type="dxa"/>
          <w:bottom w:w="0" w:type="dxa"/>
          <w:right w:w="108" w:type="dxa"/>
        </w:tblCellMar>
      </w:tblPr>
      <w:tblGrid>
        <w:gridCol w:w="349"/>
        <w:gridCol w:w="348"/>
        <w:gridCol w:w="348"/>
        <w:gridCol w:w="2034"/>
        <w:gridCol w:w="1141"/>
        <w:gridCol w:w="1141"/>
        <w:gridCol w:w="1075"/>
        <w:gridCol w:w="645"/>
        <w:gridCol w:w="480"/>
        <w:gridCol w:w="865"/>
      </w:tblGrid>
      <w:tr>
        <w:tblPrEx>
          <w:tblLayout w:type="fixed"/>
          <w:tblCellMar>
            <w:top w:w="0" w:type="dxa"/>
            <w:left w:w="108" w:type="dxa"/>
            <w:bottom w:w="0" w:type="dxa"/>
            <w:right w:w="108" w:type="dxa"/>
          </w:tblCellMar>
        </w:tblPrEx>
        <w:trPr>
          <w:trHeight w:val="264" w:hRule="atLeast"/>
        </w:trPr>
        <w:tc>
          <w:tcPr>
            <w:tcW w:w="8426" w:type="dxa"/>
            <w:gridSpan w:val="10"/>
            <w:tcBorders>
              <w:top w:val="nil"/>
              <w:left w:val="nil"/>
              <w:bottom w:val="nil"/>
              <w:right w:val="nil"/>
            </w:tcBorders>
            <w:shd w:val="clear" w:color="auto" w:fill="auto"/>
            <w:noWrap/>
            <w:vAlign w:val="bottom"/>
          </w:tcPr>
          <w:p>
            <w:pPr>
              <w:adjustRightInd/>
              <w:snapToGrid/>
              <w:spacing w:after="0"/>
              <w:jc w:val="center"/>
              <w:rPr>
                <w:rFonts w:ascii="Arial" w:hAnsi="Arial" w:eastAsia="宋体" w:cs="Arial"/>
                <w:color w:val="000000"/>
                <w:sz w:val="16"/>
                <w:szCs w:val="16"/>
              </w:rPr>
            </w:pPr>
            <w:r>
              <w:rPr>
                <w:rFonts w:hint="eastAsia" w:ascii="宋体" w:hAnsi="宋体" w:eastAsia="宋体" w:cs="Arial"/>
                <w:color w:val="000000"/>
                <w:sz w:val="16"/>
                <w:szCs w:val="16"/>
              </w:rPr>
              <w:t>2018年支出决算表</w:t>
            </w:r>
          </w:p>
        </w:tc>
      </w:tr>
      <w:tr>
        <w:tblPrEx>
          <w:tblLayout w:type="fixed"/>
          <w:tblCellMar>
            <w:top w:w="0" w:type="dxa"/>
            <w:left w:w="108" w:type="dxa"/>
            <w:bottom w:w="0" w:type="dxa"/>
            <w:right w:w="108" w:type="dxa"/>
          </w:tblCellMar>
        </w:tblPrEx>
        <w:trPr>
          <w:trHeight w:val="264" w:hRule="atLeast"/>
        </w:trPr>
        <w:tc>
          <w:tcPr>
            <w:tcW w:w="349"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48"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48"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2034"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141"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141"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07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64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45"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公开03表</w:t>
            </w:r>
          </w:p>
        </w:tc>
      </w:tr>
      <w:tr>
        <w:tblPrEx>
          <w:tblLayout w:type="fixed"/>
          <w:tblCellMar>
            <w:top w:w="0" w:type="dxa"/>
            <w:left w:w="108" w:type="dxa"/>
            <w:bottom w:w="0" w:type="dxa"/>
            <w:right w:w="108" w:type="dxa"/>
          </w:tblCellMar>
        </w:tblPrEx>
        <w:trPr>
          <w:trHeight w:val="264" w:hRule="atLeast"/>
        </w:trPr>
        <w:tc>
          <w:tcPr>
            <w:tcW w:w="4220" w:type="dxa"/>
            <w:gridSpan w:val="5"/>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1141" w:type="dxa"/>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2019年8月</w:t>
            </w:r>
          </w:p>
        </w:tc>
        <w:tc>
          <w:tcPr>
            <w:tcW w:w="107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64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45"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9" w:hRule="atLeast"/>
        </w:trPr>
        <w:tc>
          <w:tcPr>
            <w:tcW w:w="307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1141"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本年支出合计</w:t>
            </w:r>
          </w:p>
        </w:tc>
        <w:tc>
          <w:tcPr>
            <w:tcW w:w="1141"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基本支出</w:t>
            </w:r>
          </w:p>
        </w:tc>
        <w:tc>
          <w:tcPr>
            <w:tcW w:w="1075"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项目支出</w:t>
            </w:r>
          </w:p>
        </w:tc>
        <w:tc>
          <w:tcPr>
            <w:tcW w:w="645"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上缴上级支出</w:t>
            </w:r>
          </w:p>
        </w:tc>
        <w:tc>
          <w:tcPr>
            <w:tcW w:w="480"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经营支出</w:t>
            </w:r>
          </w:p>
        </w:tc>
        <w:tc>
          <w:tcPr>
            <w:tcW w:w="865" w:type="dxa"/>
            <w:vMerge w:val="restart"/>
            <w:tcBorders>
              <w:top w:val="single" w:color="000000" w:sz="4" w:space="0"/>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对附属单位补助支出</w:t>
            </w:r>
          </w:p>
        </w:tc>
      </w:tr>
      <w:tr>
        <w:tblPrEx>
          <w:tblLayout w:type="fixed"/>
          <w:tblCellMar>
            <w:top w:w="0" w:type="dxa"/>
            <w:left w:w="108" w:type="dxa"/>
            <w:bottom w:w="0" w:type="dxa"/>
            <w:right w:w="108" w:type="dxa"/>
          </w:tblCellMar>
        </w:tblPrEx>
        <w:trPr>
          <w:trHeight w:val="312" w:hRule="atLeast"/>
        </w:trPr>
        <w:tc>
          <w:tcPr>
            <w:tcW w:w="1045"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支出功能分类科目编码</w:t>
            </w:r>
          </w:p>
        </w:tc>
        <w:tc>
          <w:tcPr>
            <w:tcW w:w="2034"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科目名称</w:t>
            </w: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7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64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80"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65"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12" w:hRule="atLeast"/>
        </w:trPr>
        <w:tc>
          <w:tcPr>
            <w:tcW w:w="1045" w:type="dxa"/>
            <w:gridSpan w:val="3"/>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034"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7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64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80"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65"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12" w:hRule="atLeast"/>
        </w:trPr>
        <w:tc>
          <w:tcPr>
            <w:tcW w:w="1045" w:type="dxa"/>
            <w:gridSpan w:val="3"/>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034"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41"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07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645"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480"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865"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trHeight w:val="309" w:hRule="atLeast"/>
        </w:trPr>
        <w:tc>
          <w:tcPr>
            <w:tcW w:w="349" w:type="dxa"/>
            <w:vMerge w:val="restart"/>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类</w:t>
            </w:r>
          </w:p>
        </w:tc>
        <w:tc>
          <w:tcPr>
            <w:tcW w:w="348"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款</w:t>
            </w:r>
          </w:p>
        </w:tc>
        <w:tc>
          <w:tcPr>
            <w:tcW w:w="348" w:type="dxa"/>
            <w:vMerge w:val="restart"/>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w:t>
            </w:r>
          </w:p>
        </w:tc>
        <w:tc>
          <w:tcPr>
            <w:tcW w:w="2034"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栏次</w:t>
            </w:r>
          </w:p>
        </w:tc>
        <w:tc>
          <w:tcPr>
            <w:tcW w:w="1141"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141"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1075"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645"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c>
          <w:tcPr>
            <w:tcW w:w="480"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w:t>
            </w:r>
          </w:p>
        </w:tc>
        <w:tc>
          <w:tcPr>
            <w:tcW w:w="865" w:type="dxa"/>
            <w:tcBorders>
              <w:top w:val="nil"/>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w:t>
            </w:r>
          </w:p>
        </w:tc>
      </w:tr>
      <w:tr>
        <w:tblPrEx>
          <w:tblLayout w:type="fixed"/>
          <w:tblCellMar>
            <w:top w:w="0" w:type="dxa"/>
            <w:left w:w="108" w:type="dxa"/>
            <w:bottom w:w="0" w:type="dxa"/>
            <w:right w:w="108" w:type="dxa"/>
          </w:tblCellMar>
        </w:tblPrEx>
        <w:trPr>
          <w:trHeight w:val="309" w:hRule="atLeast"/>
        </w:trPr>
        <w:tc>
          <w:tcPr>
            <w:tcW w:w="34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48"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48"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034"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合计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197,009,437.14</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165,974,768.58</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31,034,668.56</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社会保障和就业支出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6,139,822.29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行政事业单位离退休</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2080505</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机关事业单位基本养老保险缴费支出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20807</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就业补助</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2080702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职业培训补贴</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182,187,470.05</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152,019,425.49</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30,168,044.56</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医疗卫生与计划生育管理事务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3,311,630.97</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2,960,481.97</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行政运行</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2,864,305.41</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2,864,305.41</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一般行政管理事务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96,176.56</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96,176.56</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其他医疗卫生与计划生育管理事务支出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公立医院</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115,757,741.49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106,723,906.73</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9,033,834.76</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综合医院</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90,384,193.20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89,959,005.20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425,188.00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中医(民族)医院</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16,817,901.53</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16,764,901.53</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53,000.00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其他公立医院支出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8,555,646.76</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8,555,646.76</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基层医疗卫生机构</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30,695,037.16</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30,412,777.53</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乡镇卫生院</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30,412,777.53</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30,412,777.53</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其他基层医疗卫生机构支出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公共卫生</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22,571,823.90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9,164,650.50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13,407,173.40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疾病预防控制机构</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2,850,147.66</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2,570,473.78</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279,673.88</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卫生监督机构</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3,018,316.55</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2,497,217.06</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521,099.49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2100403</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妇幼保健机构</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4,096,959.66</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4,096,959.66</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2100408</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基本公共卫生服务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7,510,895.12</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7,510,895.12</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重大公共卫生专项</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1,611,478.94</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1,611,478.94</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其他公共卫生支出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3,484,025.97</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3,484,025.97</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中医药</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中医（民族医)药专项</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计划生育事务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5,010,175.14</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2100717</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计划生育服务</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其他计划生育事务支出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行政事业单位医疗</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行政单位医疗</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事业单位医疗</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其他医疗卫生与计划生育支出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2,006,133.89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83,261.00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1,922,872.89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2,006,133.89</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83,261.00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1,922,872.89</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节能环保支出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污染防治</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水体</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城乡社区环境卫生</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2120501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城乡社区环境卫生</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农林水支出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21305</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扶贫</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2130599</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其他扶贫支出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住房保障支出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w:t>
            </w:r>
          </w:p>
        </w:tc>
        <w:tc>
          <w:tcPr>
            <w:tcW w:w="2034"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住房改革支出</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141"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07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045" w:type="dxa"/>
            <w:gridSpan w:val="3"/>
            <w:tcBorders>
              <w:top w:val="nil"/>
              <w:left w:val="single" w:color="000000" w:sz="4" w:space="0"/>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2210201</w:t>
            </w:r>
          </w:p>
        </w:tc>
        <w:tc>
          <w:tcPr>
            <w:tcW w:w="2034" w:type="dxa"/>
            <w:tcBorders>
              <w:top w:val="nil"/>
              <w:left w:val="nil"/>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住房公积金</w:t>
            </w:r>
          </w:p>
        </w:tc>
        <w:tc>
          <w:tcPr>
            <w:tcW w:w="1141"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141"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075"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645"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480"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865" w:type="dxa"/>
            <w:tcBorders>
              <w:top w:val="nil"/>
              <w:left w:val="nil"/>
              <w:bottom w:val="single" w:color="000000" w:sz="8"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8426" w:type="dxa"/>
            <w:gridSpan w:val="10"/>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注：本表反映部门本年度取得的各项支出情况。</w:t>
            </w:r>
          </w:p>
        </w:tc>
      </w:tr>
    </w:tbl>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4、2018年财政拨款收入支出决算总表 </w:t>
      </w:r>
    </w:p>
    <w:tbl>
      <w:tblPr>
        <w:tblStyle w:val="5"/>
        <w:tblW w:w="8426" w:type="dxa"/>
        <w:tblInd w:w="96" w:type="dxa"/>
        <w:tblLayout w:type="fixed"/>
        <w:tblCellMar>
          <w:top w:w="0" w:type="dxa"/>
          <w:left w:w="108" w:type="dxa"/>
          <w:bottom w:w="0" w:type="dxa"/>
          <w:right w:w="108" w:type="dxa"/>
        </w:tblCellMar>
      </w:tblPr>
      <w:tblGrid>
        <w:gridCol w:w="1664"/>
        <w:gridCol w:w="356"/>
        <w:gridCol w:w="1388"/>
        <w:gridCol w:w="1474"/>
        <w:gridCol w:w="356"/>
        <w:gridCol w:w="1197"/>
        <w:gridCol w:w="1197"/>
        <w:gridCol w:w="794"/>
      </w:tblGrid>
      <w:tr>
        <w:tblPrEx>
          <w:tblLayout w:type="fixed"/>
          <w:tblCellMar>
            <w:top w:w="0" w:type="dxa"/>
            <w:left w:w="108" w:type="dxa"/>
            <w:bottom w:w="0" w:type="dxa"/>
            <w:right w:w="108" w:type="dxa"/>
          </w:tblCellMar>
        </w:tblPrEx>
        <w:trPr>
          <w:trHeight w:val="264" w:hRule="atLeast"/>
        </w:trPr>
        <w:tc>
          <w:tcPr>
            <w:tcW w:w="8426" w:type="dxa"/>
            <w:gridSpan w:val="8"/>
            <w:tcBorders>
              <w:top w:val="nil"/>
              <w:left w:val="nil"/>
              <w:bottom w:val="nil"/>
              <w:right w:val="nil"/>
            </w:tcBorders>
            <w:shd w:val="clear" w:color="auto" w:fill="auto"/>
            <w:noWrap/>
            <w:vAlign w:val="bottom"/>
          </w:tcPr>
          <w:p>
            <w:pPr>
              <w:adjustRightInd/>
              <w:snapToGrid/>
              <w:spacing w:after="0"/>
              <w:jc w:val="center"/>
              <w:rPr>
                <w:rFonts w:ascii="Arial" w:hAnsi="Arial" w:eastAsia="宋体" w:cs="Arial"/>
                <w:color w:val="000000"/>
                <w:sz w:val="16"/>
                <w:szCs w:val="16"/>
              </w:rPr>
            </w:pPr>
            <w:r>
              <w:rPr>
                <w:rFonts w:hint="eastAsia" w:ascii="宋体" w:hAnsi="宋体" w:eastAsia="宋体" w:cs="Arial"/>
                <w:color w:val="000000"/>
                <w:sz w:val="16"/>
                <w:szCs w:val="16"/>
              </w:rPr>
              <w:t>2018年财政拨款收入支出决算总表</w:t>
            </w:r>
          </w:p>
        </w:tc>
      </w:tr>
      <w:tr>
        <w:tblPrEx>
          <w:tblLayout w:type="fixed"/>
          <w:tblCellMar>
            <w:top w:w="0" w:type="dxa"/>
            <w:left w:w="108" w:type="dxa"/>
            <w:bottom w:w="0" w:type="dxa"/>
            <w:right w:w="108" w:type="dxa"/>
          </w:tblCellMar>
        </w:tblPrEx>
        <w:trPr>
          <w:trHeight w:val="264" w:hRule="atLeast"/>
        </w:trPr>
        <w:tc>
          <w:tcPr>
            <w:tcW w:w="1664"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56"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388"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474"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56"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197"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991"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公开04表</w:t>
            </w:r>
          </w:p>
        </w:tc>
      </w:tr>
      <w:tr>
        <w:tblPrEx>
          <w:tblLayout w:type="fixed"/>
          <w:tblCellMar>
            <w:top w:w="0" w:type="dxa"/>
            <w:left w:w="108" w:type="dxa"/>
            <w:bottom w:w="0" w:type="dxa"/>
            <w:right w:w="108" w:type="dxa"/>
          </w:tblCellMar>
        </w:tblPrEx>
        <w:trPr>
          <w:trHeight w:val="264" w:hRule="atLeast"/>
        </w:trPr>
        <w:tc>
          <w:tcPr>
            <w:tcW w:w="3408" w:type="dxa"/>
            <w:gridSpan w:val="3"/>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1474" w:type="dxa"/>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2019年8月</w:t>
            </w:r>
          </w:p>
        </w:tc>
        <w:tc>
          <w:tcPr>
            <w:tcW w:w="356"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197"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991" w:type="dxa"/>
            <w:gridSpan w:val="2"/>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9" w:hRule="atLeast"/>
        </w:trPr>
        <w:tc>
          <w:tcPr>
            <w:tcW w:w="340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收     入</w:t>
            </w:r>
          </w:p>
        </w:tc>
        <w:tc>
          <w:tcPr>
            <w:tcW w:w="5018" w:type="dxa"/>
            <w:gridSpan w:val="5"/>
            <w:tcBorders>
              <w:top w:val="single" w:color="000000" w:sz="4" w:space="0"/>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支     出</w:t>
            </w:r>
          </w:p>
        </w:tc>
      </w:tr>
      <w:tr>
        <w:tblPrEx>
          <w:tblLayout w:type="fixed"/>
          <w:tblCellMar>
            <w:top w:w="0" w:type="dxa"/>
            <w:left w:w="108" w:type="dxa"/>
            <w:bottom w:w="0" w:type="dxa"/>
            <w:right w:w="108" w:type="dxa"/>
          </w:tblCellMar>
        </w:tblPrEx>
        <w:trPr>
          <w:trHeight w:val="339" w:hRule="atLeast"/>
        </w:trPr>
        <w:tc>
          <w:tcPr>
            <w:tcW w:w="1664" w:type="dxa"/>
            <w:vMerge w:val="restart"/>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    目</w:t>
            </w:r>
          </w:p>
        </w:tc>
        <w:tc>
          <w:tcPr>
            <w:tcW w:w="356"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行次</w:t>
            </w:r>
          </w:p>
        </w:tc>
        <w:tc>
          <w:tcPr>
            <w:tcW w:w="1388"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金额</w:t>
            </w:r>
          </w:p>
        </w:tc>
        <w:tc>
          <w:tcPr>
            <w:tcW w:w="1474"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356"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行次</w:t>
            </w:r>
          </w:p>
        </w:tc>
        <w:tc>
          <w:tcPr>
            <w:tcW w:w="3188" w:type="dxa"/>
            <w:gridSpan w:val="3"/>
            <w:tcBorders>
              <w:top w:val="nil"/>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金额</w:t>
            </w:r>
          </w:p>
        </w:tc>
      </w:tr>
      <w:tr>
        <w:tblPrEx>
          <w:tblLayout w:type="fixed"/>
          <w:tblCellMar>
            <w:top w:w="0" w:type="dxa"/>
            <w:left w:w="108" w:type="dxa"/>
            <w:bottom w:w="0" w:type="dxa"/>
            <w:right w:w="108" w:type="dxa"/>
          </w:tblCellMar>
        </w:tblPrEx>
        <w:trPr>
          <w:trHeight w:val="615" w:hRule="atLeast"/>
        </w:trPr>
        <w:tc>
          <w:tcPr>
            <w:tcW w:w="166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56"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388"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474"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56"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197"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小计</w:t>
            </w:r>
          </w:p>
        </w:tc>
        <w:tc>
          <w:tcPr>
            <w:tcW w:w="1197"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一般公共预算财政拨款</w:t>
            </w:r>
          </w:p>
        </w:tc>
        <w:tc>
          <w:tcPr>
            <w:tcW w:w="794" w:type="dxa"/>
            <w:tcBorders>
              <w:top w:val="nil"/>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政府性基金预算财政拨款</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    次</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　</w:t>
            </w:r>
          </w:p>
        </w:tc>
        <w:tc>
          <w:tcPr>
            <w:tcW w:w="1388"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    次</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　</w:t>
            </w:r>
          </w:p>
        </w:tc>
        <w:tc>
          <w:tcPr>
            <w:tcW w:w="1197"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1197"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794" w:type="dxa"/>
            <w:tcBorders>
              <w:top w:val="nil"/>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一、一般公共预算财政拨款</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97,037,323.33</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一、一般公共服务支出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31</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二、政府性基金预算财政拨款</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二、外交支出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32</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三、国防支出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33</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四、公共安全支出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34</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五、教育支出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35</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六、科学技术支出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36</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7</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七、文化体育与传媒支出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37</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8</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八、社会保障和就业支出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38</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6,139,822.29</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6,139,822.29</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9</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九、医疗卫生与计划生育支出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39</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82,500,230.47</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82,500,230.47</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10</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十、节能环保支出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11</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十一、城乡社区支出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41</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12</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十二、农林水支出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42</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13</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十三、交通运输支出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43</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14</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十四、资源勘探信息等支出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44</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15</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十五、商业服务业等支出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45</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16</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十六、金融支出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46</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17</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十七、援助其他地区支出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47</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18</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十八、国土海洋气象等支出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48</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19</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十九、住房保障支出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49</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二十、粮油物资储备支出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21</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二十一、其他支出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51</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22</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二十二、债务还本支出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52</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23</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二十三、债务付息支出</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53</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本年收入合计</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24</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97,037,323.33</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本年支出合计</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54</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97,322,197.56</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97,322,197.56</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25</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55</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年初财政拨款结转和结余</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26</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5,182,162.60</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年末财政拨款结转和结余</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56</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4,897,288.37</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4,897,288.37</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一、一般公共预算财政拨款</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27</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5,182,162.60</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基本支出结转</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57</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259,080.96</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259,080.96</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二、政府性基金预算财政拨款</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28</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项目支出结转和结余</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58</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4,638,207.41</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4,638,207.41</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29</w:t>
            </w:r>
          </w:p>
        </w:tc>
        <w:tc>
          <w:tcPr>
            <w:tcW w:w="1388"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474" w:type="dxa"/>
            <w:tcBorders>
              <w:top w:val="nil"/>
              <w:left w:val="nil"/>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c>
          <w:tcPr>
            <w:tcW w:w="356"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59</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1197"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c>
          <w:tcPr>
            <w:tcW w:w="794"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w:t>
            </w:r>
          </w:p>
        </w:tc>
      </w:tr>
      <w:tr>
        <w:tblPrEx>
          <w:tblLayout w:type="fixed"/>
          <w:tblCellMar>
            <w:top w:w="0" w:type="dxa"/>
            <w:left w:w="108" w:type="dxa"/>
            <w:bottom w:w="0" w:type="dxa"/>
            <w:right w:w="108" w:type="dxa"/>
          </w:tblCellMar>
        </w:tblPrEx>
        <w:trPr>
          <w:trHeight w:val="309" w:hRule="atLeast"/>
        </w:trPr>
        <w:tc>
          <w:tcPr>
            <w:tcW w:w="1664" w:type="dxa"/>
            <w:tcBorders>
              <w:top w:val="nil"/>
              <w:left w:val="single" w:color="000000" w:sz="4" w:space="0"/>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总计</w:t>
            </w:r>
          </w:p>
        </w:tc>
        <w:tc>
          <w:tcPr>
            <w:tcW w:w="356"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30</w:t>
            </w:r>
          </w:p>
        </w:tc>
        <w:tc>
          <w:tcPr>
            <w:tcW w:w="1388"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102,219,485.93</w:t>
            </w:r>
          </w:p>
        </w:tc>
        <w:tc>
          <w:tcPr>
            <w:tcW w:w="1474"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b/>
                <w:bCs/>
                <w:color w:val="000000"/>
                <w:sz w:val="16"/>
                <w:szCs w:val="16"/>
              </w:rPr>
            </w:pPr>
            <w:r>
              <w:rPr>
                <w:rFonts w:hint="eastAsia" w:ascii="宋体" w:hAnsi="宋体" w:eastAsia="宋体" w:cs="Arial"/>
                <w:b/>
                <w:bCs/>
                <w:color w:val="000000"/>
                <w:sz w:val="16"/>
                <w:szCs w:val="16"/>
              </w:rPr>
              <w:t>总计</w:t>
            </w:r>
          </w:p>
        </w:tc>
        <w:tc>
          <w:tcPr>
            <w:tcW w:w="356"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60</w:t>
            </w:r>
          </w:p>
        </w:tc>
        <w:tc>
          <w:tcPr>
            <w:tcW w:w="1197"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102,219,485.93</w:t>
            </w:r>
          </w:p>
        </w:tc>
        <w:tc>
          <w:tcPr>
            <w:tcW w:w="1197"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102,219,485.93</w:t>
            </w:r>
          </w:p>
        </w:tc>
        <w:tc>
          <w:tcPr>
            <w:tcW w:w="794" w:type="dxa"/>
            <w:tcBorders>
              <w:top w:val="nil"/>
              <w:left w:val="nil"/>
              <w:bottom w:val="single" w:color="000000" w:sz="8"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9" w:hRule="atLeast"/>
        </w:trPr>
        <w:tc>
          <w:tcPr>
            <w:tcW w:w="8426" w:type="dxa"/>
            <w:gridSpan w:val="8"/>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注：本表反映部门本年度一般公共预算财政拨款和政府性基金预算财政拨款的总收支和年末结转结余情况。</w:t>
            </w:r>
          </w:p>
        </w:tc>
      </w:tr>
    </w:tbl>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5、2018年一般公共预算财政拨款支出决算表（一） </w:t>
      </w:r>
    </w:p>
    <w:tbl>
      <w:tblPr>
        <w:tblStyle w:val="5"/>
        <w:tblW w:w="8714" w:type="dxa"/>
        <w:tblInd w:w="96" w:type="dxa"/>
        <w:tblLayout w:type="fixed"/>
        <w:tblCellMar>
          <w:top w:w="0" w:type="dxa"/>
          <w:left w:w="108" w:type="dxa"/>
          <w:bottom w:w="0" w:type="dxa"/>
          <w:right w:w="108" w:type="dxa"/>
        </w:tblCellMar>
      </w:tblPr>
      <w:tblGrid>
        <w:gridCol w:w="439"/>
        <w:gridCol w:w="375"/>
        <w:gridCol w:w="2886"/>
        <w:gridCol w:w="1249"/>
        <w:gridCol w:w="1249"/>
        <w:gridCol w:w="2280"/>
        <w:gridCol w:w="236"/>
      </w:tblGrid>
      <w:tr>
        <w:tblPrEx>
          <w:tblLayout w:type="fixed"/>
          <w:tblCellMar>
            <w:top w:w="0" w:type="dxa"/>
            <w:left w:w="108" w:type="dxa"/>
            <w:bottom w:w="0" w:type="dxa"/>
            <w:right w:w="108" w:type="dxa"/>
          </w:tblCellMar>
        </w:tblPrEx>
        <w:trPr>
          <w:gridAfter w:val="1"/>
          <w:wAfter w:w="236" w:type="dxa"/>
          <w:trHeight w:val="264" w:hRule="atLeast"/>
        </w:trPr>
        <w:tc>
          <w:tcPr>
            <w:tcW w:w="8478" w:type="dxa"/>
            <w:gridSpan w:val="6"/>
            <w:tcBorders>
              <w:top w:val="nil"/>
              <w:left w:val="nil"/>
              <w:bottom w:val="nil"/>
              <w:right w:val="nil"/>
            </w:tcBorders>
            <w:shd w:val="clear" w:color="auto" w:fill="auto"/>
            <w:noWrap/>
            <w:vAlign w:val="bottom"/>
          </w:tcPr>
          <w:p>
            <w:pPr>
              <w:adjustRightInd/>
              <w:snapToGrid/>
              <w:spacing w:after="0"/>
              <w:jc w:val="center"/>
              <w:rPr>
                <w:rFonts w:ascii="Arial" w:hAnsi="Arial" w:eastAsia="宋体" w:cs="Arial"/>
                <w:color w:val="000000"/>
                <w:sz w:val="16"/>
                <w:szCs w:val="16"/>
              </w:rPr>
            </w:pPr>
            <w:r>
              <w:rPr>
                <w:rFonts w:hint="eastAsia" w:ascii="宋体" w:hAnsi="宋体" w:eastAsia="宋体" w:cs="Arial"/>
                <w:color w:val="000000"/>
                <w:sz w:val="16"/>
                <w:szCs w:val="16"/>
              </w:rPr>
              <w:t>2018年一般公共预算财政拨款支出决算表（一）</w:t>
            </w:r>
          </w:p>
        </w:tc>
      </w:tr>
      <w:tr>
        <w:tblPrEx>
          <w:tblLayout w:type="fixed"/>
          <w:tblCellMar>
            <w:top w:w="0" w:type="dxa"/>
            <w:left w:w="108" w:type="dxa"/>
            <w:bottom w:w="0" w:type="dxa"/>
            <w:right w:w="108" w:type="dxa"/>
          </w:tblCellMar>
        </w:tblPrEx>
        <w:trPr>
          <w:gridAfter w:val="1"/>
          <w:wAfter w:w="236" w:type="dxa"/>
          <w:trHeight w:val="264" w:hRule="atLeast"/>
        </w:trPr>
        <w:tc>
          <w:tcPr>
            <w:tcW w:w="439"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375"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2886"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249"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249"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2280" w:type="dxa"/>
            <w:tcBorders>
              <w:top w:val="nil"/>
              <w:left w:val="nil"/>
              <w:bottom w:val="nil"/>
              <w:right w:val="nil"/>
            </w:tcBorders>
            <w:shd w:val="clear" w:color="auto" w:fill="auto"/>
            <w:noWrap/>
            <w:vAlign w:val="bottom"/>
          </w:tcPr>
          <w:p>
            <w:pPr>
              <w:wordWrap w:val="0"/>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 xml:space="preserve">   公开05表</w:t>
            </w:r>
          </w:p>
        </w:tc>
      </w:tr>
      <w:tr>
        <w:tblPrEx>
          <w:tblLayout w:type="fixed"/>
          <w:tblCellMar>
            <w:top w:w="0" w:type="dxa"/>
            <w:left w:w="108" w:type="dxa"/>
            <w:bottom w:w="0" w:type="dxa"/>
            <w:right w:w="108" w:type="dxa"/>
          </w:tblCellMar>
        </w:tblPrEx>
        <w:trPr>
          <w:trHeight w:val="264" w:hRule="atLeast"/>
        </w:trPr>
        <w:tc>
          <w:tcPr>
            <w:tcW w:w="4949" w:type="dxa"/>
            <w:gridSpan w:val="4"/>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1249" w:type="dxa"/>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2019年8月</w:t>
            </w:r>
          </w:p>
        </w:tc>
        <w:tc>
          <w:tcPr>
            <w:tcW w:w="2516" w:type="dxa"/>
            <w:gridSpan w:val="2"/>
            <w:tcBorders>
              <w:top w:val="nil"/>
              <w:left w:val="nil"/>
              <w:bottom w:val="nil"/>
              <w:right w:val="nil"/>
            </w:tcBorders>
            <w:shd w:val="clear" w:color="auto" w:fill="auto"/>
            <w:noWrap/>
            <w:vAlign w:val="bottom"/>
          </w:tcPr>
          <w:p>
            <w:pPr>
              <w:adjustRightInd/>
              <w:snapToGrid/>
              <w:spacing w:after="0"/>
              <w:ind w:right="320"/>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9" w:hRule="atLeast"/>
        </w:trPr>
        <w:tc>
          <w:tcPr>
            <w:tcW w:w="3700"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1249"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本年支出合计</w:t>
            </w:r>
          </w:p>
        </w:tc>
        <w:tc>
          <w:tcPr>
            <w:tcW w:w="1249" w:type="dxa"/>
            <w:vMerge w:val="restart"/>
            <w:tcBorders>
              <w:top w:val="single" w:color="000000" w:sz="4" w:space="0"/>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基本支出</w:t>
            </w:r>
          </w:p>
        </w:tc>
        <w:tc>
          <w:tcPr>
            <w:tcW w:w="2280" w:type="dxa"/>
            <w:vMerge w:val="restart"/>
            <w:tcBorders>
              <w:top w:val="single" w:color="000000" w:sz="4" w:space="0"/>
              <w:left w:val="nil"/>
              <w:bottom w:val="single" w:color="000000" w:sz="4" w:space="0"/>
              <w:right w:val="single" w:color="000000" w:sz="8"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项目支出</w:t>
            </w:r>
          </w:p>
        </w:tc>
        <w:tc>
          <w:tcPr>
            <w:tcW w:w="236" w:type="dxa"/>
            <w:vAlign w:val="center"/>
          </w:tcPr>
          <w:p>
            <w:pPr>
              <w:adjustRightInd/>
              <w:snapToGrid/>
              <w:spacing w:after="0"/>
              <w:rPr>
                <w:rFonts w:ascii="Times New Roman" w:hAnsi="Times New Roman" w:eastAsia="Times New Roman" w:cs="Times New Roman"/>
                <w:sz w:val="20"/>
                <w:szCs w:val="20"/>
              </w:rPr>
            </w:pPr>
          </w:p>
        </w:tc>
      </w:tr>
      <w:tr>
        <w:tblPrEx>
          <w:tblLayout w:type="fixed"/>
          <w:tblCellMar>
            <w:top w:w="0" w:type="dxa"/>
            <w:left w:w="108" w:type="dxa"/>
            <w:bottom w:w="0" w:type="dxa"/>
            <w:right w:w="108" w:type="dxa"/>
          </w:tblCellMar>
        </w:tblPrEx>
        <w:trPr>
          <w:trHeight w:val="309" w:hRule="atLeast"/>
        </w:trPr>
        <w:tc>
          <w:tcPr>
            <w:tcW w:w="814"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支出功能分类科目编码</w:t>
            </w:r>
          </w:p>
        </w:tc>
        <w:tc>
          <w:tcPr>
            <w:tcW w:w="2886"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科目名称</w:t>
            </w: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280"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c>
          <w:tcPr>
            <w:tcW w:w="236" w:type="dxa"/>
            <w:vAlign w:val="center"/>
          </w:tcPr>
          <w:p>
            <w:pPr>
              <w:adjustRightInd/>
              <w:snapToGrid/>
              <w:spacing w:after="0"/>
              <w:rPr>
                <w:rFonts w:ascii="Times New Roman" w:hAnsi="Times New Roman" w:eastAsia="Times New Roman" w:cs="Times New Roman"/>
                <w:sz w:val="20"/>
                <w:szCs w:val="20"/>
              </w:rPr>
            </w:pPr>
          </w:p>
        </w:tc>
      </w:tr>
      <w:tr>
        <w:tblPrEx>
          <w:tblLayout w:type="fixed"/>
          <w:tblCellMar>
            <w:top w:w="0" w:type="dxa"/>
            <w:left w:w="108" w:type="dxa"/>
            <w:bottom w:w="0" w:type="dxa"/>
            <w:right w:w="108" w:type="dxa"/>
          </w:tblCellMar>
        </w:tblPrEx>
        <w:trPr>
          <w:gridAfter w:val="1"/>
          <w:wAfter w:w="236" w:type="dxa"/>
          <w:trHeight w:val="312" w:hRule="atLeast"/>
        </w:trPr>
        <w:tc>
          <w:tcPr>
            <w:tcW w:w="814" w:type="dxa"/>
            <w:gridSpan w:val="2"/>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886"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280"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gridAfter w:val="1"/>
          <w:wAfter w:w="236" w:type="dxa"/>
          <w:trHeight w:val="312" w:hRule="atLeast"/>
        </w:trPr>
        <w:tc>
          <w:tcPr>
            <w:tcW w:w="814" w:type="dxa"/>
            <w:gridSpan w:val="2"/>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886"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1249" w:type="dxa"/>
            <w:vMerge w:val="continue"/>
            <w:tcBorders>
              <w:top w:val="single" w:color="000000" w:sz="4" w:space="0"/>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280" w:type="dxa"/>
            <w:vMerge w:val="continue"/>
            <w:tcBorders>
              <w:top w:val="single" w:color="000000" w:sz="4" w:space="0"/>
              <w:left w:val="nil"/>
              <w:bottom w:val="single" w:color="000000" w:sz="4" w:space="0"/>
              <w:right w:val="single" w:color="000000" w:sz="8" w:space="0"/>
            </w:tcBorders>
            <w:vAlign w:val="center"/>
          </w:tcPr>
          <w:p>
            <w:pPr>
              <w:adjustRightInd/>
              <w:snapToGrid/>
              <w:spacing w:after="0"/>
              <w:rPr>
                <w:rFonts w:ascii="宋体" w:hAnsi="宋体" w:eastAsia="宋体" w:cs="Arial"/>
                <w:color w:val="000000"/>
                <w:sz w:val="16"/>
                <w:szCs w:val="16"/>
              </w:rPr>
            </w:pPr>
          </w:p>
        </w:tc>
      </w:tr>
      <w:tr>
        <w:tblPrEx>
          <w:tblLayout w:type="fixed"/>
          <w:tblCellMar>
            <w:top w:w="0" w:type="dxa"/>
            <w:left w:w="108" w:type="dxa"/>
            <w:bottom w:w="0" w:type="dxa"/>
            <w:right w:w="108" w:type="dxa"/>
          </w:tblCellMar>
        </w:tblPrEx>
        <w:trPr>
          <w:gridAfter w:val="1"/>
          <w:wAfter w:w="236" w:type="dxa"/>
          <w:trHeight w:val="309" w:hRule="atLeast"/>
        </w:trPr>
        <w:tc>
          <w:tcPr>
            <w:tcW w:w="439" w:type="dxa"/>
            <w:vMerge w:val="restart"/>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类</w:t>
            </w:r>
          </w:p>
        </w:tc>
        <w:tc>
          <w:tcPr>
            <w:tcW w:w="375" w:type="dxa"/>
            <w:vMerge w:val="restart"/>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款</w:t>
            </w:r>
          </w:p>
        </w:tc>
        <w:tc>
          <w:tcPr>
            <w:tcW w:w="2886"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栏次</w:t>
            </w:r>
          </w:p>
        </w:tc>
        <w:tc>
          <w:tcPr>
            <w:tcW w:w="1249"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249"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2280" w:type="dxa"/>
            <w:tcBorders>
              <w:top w:val="nil"/>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r>
      <w:tr>
        <w:tblPrEx>
          <w:tblLayout w:type="fixed"/>
          <w:tblCellMar>
            <w:top w:w="0" w:type="dxa"/>
            <w:left w:w="108" w:type="dxa"/>
            <w:bottom w:w="0" w:type="dxa"/>
            <w:right w:w="108" w:type="dxa"/>
          </w:tblCellMar>
        </w:tblPrEx>
        <w:trPr>
          <w:gridAfter w:val="1"/>
          <w:wAfter w:w="236" w:type="dxa"/>
          <w:trHeight w:val="309" w:hRule="atLeast"/>
        </w:trPr>
        <w:tc>
          <w:tcPr>
            <w:tcW w:w="43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375" w:type="dxa"/>
            <w:vMerge w:val="continue"/>
            <w:tcBorders>
              <w:top w:val="nil"/>
              <w:left w:val="nil"/>
              <w:bottom w:val="single" w:color="000000" w:sz="4" w:space="0"/>
              <w:right w:val="single" w:color="000000" w:sz="4" w:space="0"/>
            </w:tcBorders>
            <w:vAlign w:val="center"/>
          </w:tcPr>
          <w:p>
            <w:pPr>
              <w:adjustRightInd/>
              <w:snapToGrid/>
              <w:spacing w:after="0"/>
              <w:rPr>
                <w:rFonts w:ascii="宋体" w:hAnsi="宋体" w:eastAsia="宋体" w:cs="Arial"/>
                <w:color w:val="000000"/>
                <w:sz w:val="16"/>
                <w:szCs w:val="16"/>
              </w:rPr>
            </w:pPr>
          </w:p>
        </w:tc>
        <w:tc>
          <w:tcPr>
            <w:tcW w:w="2886" w:type="dxa"/>
            <w:tcBorders>
              <w:top w:val="nil"/>
              <w:left w:val="nil"/>
              <w:bottom w:val="single" w:color="000000" w:sz="4" w:space="0"/>
              <w:right w:val="single" w:color="000000" w:sz="4" w:space="0"/>
            </w:tcBorders>
            <w:shd w:val="clear" w:color="FFFFFF" w:fill="C0C0C0"/>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合计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97,322,197.56</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66,287,529.00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31,034,668.56</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社会保障和就业支出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6,139,822.29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行政事业单位离退休</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2080505</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机关事业单位基本养老保险缴费支出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6,097,822.29</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20807</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就业补助</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2080702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职业培训补贴</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82,500,230.47</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52,332,185.91</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30,168,044.56</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医疗卫生与计划生育管理事务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3,311,630.97</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2,960,481.97</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行政运行</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2,864,305.41</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2,864,305.41</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一般行政管理事务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96,176.56</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96,176.56</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2100199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其他医疗卫生与计划生育管理事务支出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351,149.00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公立医院</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32,010,061.26</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22,976,226.50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9,033,834.76</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综合医院</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20,662,941.70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20,237,753.70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425,188.00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中医(民族)医院</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2,791,472.80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2,738,472.80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53,000.00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2100299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其他公立医院支出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8,555,646.76</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8,555,646.76</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基层医疗卫生机构</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16,085,739.63</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15,803,480.00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乡镇卫生院</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15,803,480.00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15,803,480.00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2100399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其他基层医疗卫生机构支出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282,259.63</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公共卫生</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21,241,562.08</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7,834,388.68</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13,407,173.40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疾病预防控制机构</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2,850,147.66</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2,570,473.78</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279,673.88</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卫生监督机构</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3,018,316.55</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2,497,217.06</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521,099.49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2100403</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妇幼保健机构</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2,766,697.84</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2,766,697.84</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2100408</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基本公共卫生服务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7,510,895.12</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7,510,895.12</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2100409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重大公共卫生专项</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1,611,478.94</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1,611,478.94</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2100499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其他公共卫生支出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3,484,025.97</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3,484,025.97</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中医药</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2100601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中医（民族医)药专项</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293,733.59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计划生育事务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5,010,175.14</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2100717</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计划生育服务</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133,153.85</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2100799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其他计划生育事务支出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4,877,021.29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行政事业单位医疗</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2,541,193.91</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行政单位医疗</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130,759.20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2101102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事业单位医疗</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2,410,434.71</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其他医疗卫生与计划生育支出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2,006,133.89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83,261.00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1,922,872.89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2109901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其他医疗卫生与计划生育支出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2,006,133.89</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83,261.00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1,922,872.89</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节能环保支出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污染防治</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2110302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水体</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500,000.00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城乡社区环境卫生</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2120501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城乡社区环境卫生</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5,285,759.00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4,962,759.00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323,000.00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农林水支出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21305</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扶贫</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2130599</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其他扶贫支出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1,624.00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住房保障支出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w:t>
            </w:r>
          </w:p>
        </w:tc>
        <w:tc>
          <w:tcPr>
            <w:tcW w:w="2886" w:type="dxa"/>
            <w:tcBorders>
              <w:top w:val="nil"/>
              <w:left w:val="nil"/>
              <w:bottom w:val="single" w:color="000000" w:sz="4"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住房改革支出</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249"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228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14" w:type="dxa"/>
            <w:gridSpan w:val="2"/>
            <w:tcBorders>
              <w:top w:val="nil"/>
              <w:left w:val="single" w:color="000000" w:sz="4" w:space="0"/>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2210201</w:t>
            </w:r>
          </w:p>
        </w:tc>
        <w:tc>
          <w:tcPr>
            <w:tcW w:w="2886" w:type="dxa"/>
            <w:tcBorders>
              <w:top w:val="nil"/>
              <w:left w:val="nil"/>
              <w:bottom w:val="single" w:color="000000" w:sz="8" w:space="0"/>
              <w:right w:val="single" w:color="000000" w:sz="4" w:space="0"/>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xml:space="preserve">  住房公积金</w:t>
            </w:r>
          </w:p>
        </w:tc>
        <w:tc>
          <w:tcPr>
            <w:tcW w:w="1249"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1249" w:type="dxa"/>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2,894,761.80</w:t>
            </w:r>
          </w:p>
        </w:tc>
        <w:tc>
          <w:tcPr>
            <w:tcW w:w="2280" w:type="dxa"/>
            <w:tcBorders>
              <w:top w:val="nil"/>
              <w:left w:val="nil"/>
              <w:bottom w:val="single" w:color="000000" w:sz="8"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gridAfter w:val="1"/>
          <w:wAfter w:w="236" w:type="dxa"/>
          <w:trHeight w:val="309" w:hRule="atLeast"/>
        </w:trPr>
        <w:tc>
          <w:tcPr>
            <w:tcW w:w="8478" w:type="dxa"/>
            <w:gridSpan w:val="6"/>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注：本表反映部门本年度一般公共预算财政拨款支出情况。</w:t>
            </w:r>
          </w:p>
        </w:tc>
      </w:tr>
    </w:tbl>
    <w:p>
      <w:pPr>
        <w:adjustRightInd/>
        <w:spacing w:after="0" w:line="580" w:lineRule="exact"/>
        <w:ind w:firstLine="640" w:firstLineChars="200"/>
        <w:jc w:val="both"/>
        <w:rPr>
          <w:rFonts w:hint="eastAsia" w:ascii="仿宋" w:hAnsi="仿宋" w:eastAsia="仿宋" w:cs="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383" w:left="1800" w:header="708" w:footer="708" w:gutter="0"/>
          <w:cols w:space="708" w:num="1"/>
          <w:docGrid w:linePitch="360" w:charSpace="0"/>
        </w:sectPr>
      </w:pP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6、2018年一般公共预算财政拨款支出决算表（二）</w:t>
      </w:r>
    </w:p>
    <w:p>
      <w:pPr>
        <w:adjustRightInd/>
        <w:spacing w:after="0" w:line="580" w:lineRule="exact"/>
        <w:jc w:val="both"/>
        <w:rPr>
          <w:rFonts w:hint="eastAsia" w:ascii="仿宋" w:hAnsi="仿宋" w:eastAsia="仿宋" w:cs="宋体"/>
          <w:color w:val="000000"/>
          <w:sz w:val="32"/>
          <w:szCs w:val="32"/>
        </w:rPr>
      </w:pPr>
      <w:r>
        <w:rPr>
          <w:rFonts w:hint="eastAsia" w:ascii="仿宋" w:hAnsi="仿宋" w:eastAsia="仿宋" w:cs="宋体"/>
          <w:color w:val="000000"/>
          <w:sz w:val="32"/>
          <w:szCs w:val="32"/>
        </w:rPr>
        <w:t> </w:t>
      </w:r>
    </w:p>
    <w:tbl>
      <w:tblPr>
        <w:tblStyle w:val="5"/>
        <w:tblW w:w="14045" w:type="dxa"/>
        <w:tblInd w:w="0" w:type="dxa"/>
        <w:shd w:val="clear" w:color="auto" w:fill="auto"/>
        <w:tblLayout w:type="fixed"/>
        <w:tblCellMar>
          <w:top w:w="0" w:type="dxa"/>
          <w:left w:w="0" w:type="dxa"/>
          <w:bottom w:w="0" w:type="dxa"/>
          <w:right w:w="0" w:type="dxa"/>
        </w:tblCellMar>
      </w:tblPr>
      <w:tblGrid>
        <w:gridCol w:w="1240"/>
        <w:gridCol w:w="985"/>
        <w:gridCol w:w="994"/>
        <w:gridCol w:w="994"/>
        <w:gridCol w:w="401"/>
        <w:gridCol w:w="667"/>
        <w:gridCol w:w="994"/>
        <w:gridCol w:w="994"/>
        <w:gridCol w:w="401"/>
        <w:gridCol w:w="795"/>
        <w:gridCol w:w="994"/>
        <w:gridCol w:w="920"/>
        <w:gridCol w:w="401"/>
        <w:gridCol w:w="1275"/>
        <w:gridCol w:w="995"/>
        <w:gridCol w:w="995"/>
      </w:tblGrid>
      <w:tr>
        <w:tblPrEx>
          <w:shd w:val="clear" w:color="auto" w:fill="auto"/>
          <w:tblLayout w:type="fixed"/>
          <w:tblCellMar>
            <w:top w:w="0" w:type="dxa"/>
            <w:left w:w="0" w:type="dxa"/>
            <w:bottom w:w="0" w:type="dxa"/>
            <w:right w:w="0" w:type="dxa"/>
          </w:tblCellMar>
        </w:tblPrEx>
        <w:trPr>
          <w:trHeight w:val="255" w:hRule="atLeast"/>
        </w:trPr>
        <w:tc>
          <w:tcPr>
            <w:tcW w:w="14045" w:type="dxa"/>
            <w:gridSpan w:val="16"/>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2018年一般公共预算财政拨款支出决算表（二）</w:t>
            </w:r>
          </w:p>
        </w:tc>
      </w:tr>
      <w:tr>
        <w:tblPrEx>
          <w:tblLayout w:type="fixed"/>
          <w:tblCellMar>
            <w:top w:w="0" w:type="dxa"/>
            <w:left w:w="0" w:type="dxa"/>
            <w:bottom w:w="0" w:type="dxa"/>
            <w:right w:w="0" w:type="dxa"/>
          </w:tblCellMar>
        </w:tblPrEx>
        <w:trPr>
          <w:trHeight w:val="255" w:hRule="atLeast"/>
        </w:trPr>
        <w:tc>
          <w:tcPr>
            <w:tcW w:w="1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8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66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7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公开06表</w:t>
            </w:r>
          </w:p>
        </w:tc>
      </w:tr>
      <w:tr>
        <w:tblPrEx>
          <w:tblLayout w:type="fixed"/>
          <w:tblCellMar>
            <w:top w:w="0" w:type="dxa"/>
            <w:left w:w="0" w:type="dxa"/>
            <w:bottom w:w="0" w:type="dxa"/>
            <w:right w:w="0" w:type="dxa"/>
          </w:tblCellMar>
        </w:tblPrEx>
        <w:trPr>
          <w:trHeight w:val="255" w:hRule="atLeast"/>
        </w:trPr>
        <w:tc>
          <w:tcPr>
            <w:tcW w:w="4213"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编制单位：山西省沁源县卫生和计划生育局</w:t>
            </w: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66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2190"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2019年8月</w:t>
            </w:r>
          </w:p>
        </w:tc>
        <w:tc>
          <w:tcPr>
            <w:tcW w:w="99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40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9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金额单位：元</w:t>
            </w:r>
          </w:p>
        </w:tc>
      </w:tr>
      <w:tr>
        <w:tblPrEx>
          <w:tblLayout w:type="fixed"/>
          <w:tblCellMar>
            <w:top w:w="0" w:type="dxa"/>
            <w:left w:w="0" w:type="dxa"/>
            <w:bottom w:w="0" w:type="dxa"/>
            <w:right w:w="0" w:type="dxa"/>
          </w:tblCellMar>
        </w:tblPrEx>
        <w:trPr>
          <w:trHeight w:val="615" w:hRule="atLeast"/>
        </w:trPr>
        <w:tc>
          <w:tcPr>
            <w:tcW w:w="12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经济分类科目编码</w:t>
            </w:r>
          </w:p>
        </w:tc>
        <w:tc>
          <w:tcPr>
            <w:tcW w:w="985"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99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99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其中：基本支出</w:t>
            </w:r>
          </w:p>
        </w:tc>
        <w:tc>
          <w:tcPr>
            <w:tcW w:w="40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经济分类科目编码</w:t>
            </w:r>
          </w:p>
        </w:tc>
        <w:tc>
          <w:tcPr>
            <w:tcW w:w="66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99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99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其中：基本支出</w:t>
            </w:r>
          </w:p>
        </w:tc>
        <w:tc>
          <w:tcPr>
            <w:tcW w:w="40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经济分类科目编码</w:t>
            </w:r>
          </w:p>
        </w:tc>
        <w:tc>
          <w:tcPr>
            <w:tcW w:w="795"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99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92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其中：基本支出</w:t>
            </w:r>
          </w:p>
        </w:tc>
        <w:tc>
          <w:tcPr>
            <w:tcW w:w="40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经济分类科目编码</w:t>
            </w:r>
          </w:p>
        </w:tc>
        <w:tc>
          <w:tcPr>
            <w:tcW w:w="1275"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科目名称</w:t>
            </w:r>
          </w:p>
        </w:tc>
        <w:tc>
          <w:tcPr>
            <w:tcW w:w="995"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w:t>
            </w:r>
          </w:p>
        </w:tc>
        <w:tc>
          <w:tcPr>
            <w:tcW w:w="995"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其中：基本支出</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301</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工资福利支出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47,522,992.70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47,398,192.70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302</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商品和服务支出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26,114,772.85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10,580,847.56</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309</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资本性支出（基本建设）</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31022</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无形资产购置</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30101</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基本工资</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15,547,226.80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15,422,426.80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30201</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1,260,950.95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287,056.35</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30901</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房屋建筑物购建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31099</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其他资本性支出</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30102</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津贴补贴</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3,960,962.20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3,960,962.20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30202</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印刷费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1,038,087.85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121,391.76</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30902</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办公设备购置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307</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债务利息及费用支出</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30103</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奖金</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46,694.00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46,694.00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30203</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咨询费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30903</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专用设备购置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30701</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国内债务付息</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30106</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伙食补助费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30204</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手续费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30905</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基础设施建设</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30702</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国外债务付息</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30107</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绩效工资</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11,440,520.20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11,440,520.20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30205</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20,452.46</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5,529.00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30906</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大型修缮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国内债务发行费用</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30108</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6,083,272.05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6,083,272.05</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30206</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电费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285,265.23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32,554.44</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30907</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信息网络及软件购置更新</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30704</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国外债务发行费用</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30109</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职业年金缴费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14,550.24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14,550.24</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30207</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邮电费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199,284.00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28,584.00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30908</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物资储备</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311</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对企业补助（基本建设）</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30110</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职工基本医疗保险缴费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2,539,741.91</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2,539,741.91</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30208</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取暖费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301,386.00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30913</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31101</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资本金注入</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09"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30111</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公务员医疗补助缴费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30209</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物业管理费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30919</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其他交通工具购置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31199</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其他对企业补助</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09"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30112</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其他社会保障缴费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1,452.00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1,452.00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30211</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差旅费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175,525.00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49,957.00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30921</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文物和陈列品购置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312</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对企业补助</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09"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30113</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2,894,761.80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2,894,761.80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30212</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因公出国（境）费用</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30922</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无形资产购置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31201</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资本金注入</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09"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30114</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30213</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维修（护）费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254,028.86</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41,139.29</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30999</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其他基本建设支出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政府投资基金股权投资</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30199</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其他工资福利支出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4,993,811.50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4,993,811.50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30214</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租赁费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310</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资本性支出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18,948,694.27</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7,528,800.00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31204</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费用补贴</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303</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对个人和家庭的补助</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4,735,737.74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779,688.74</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30215</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会议费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9,400.00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31001</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房屋建筑物购建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2,319,020.74</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31205</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利息补贴</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30301</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离休费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30216</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培训费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91,831.00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5,716.00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31002</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办公设备购置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588,660.49</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12,750.00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31299</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其他对企业补助</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30302</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退休费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43,944.00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43,944.00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30217</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公务接待费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21,727.00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5,089.00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31003</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专用设备购置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11,551,850.00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6,870,050.00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399</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其他支出</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30303</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退职（役）费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367,324.00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30218</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专用材料费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12,317,071.05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7,329,477.70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31005</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基础设施建设</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3,698,681.24</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39906</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赠与</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30304</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抚恤金</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103,160.00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103,160.00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30224</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被装购置费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31006</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大型修缮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39907</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国家赔偿费用支出</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30305</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生活补助</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280,314.00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237,010.00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30225</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专用燃料费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9,245.00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31007</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信息网络及软件购置更新</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144,481.80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39908</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对民间非营利组织和群众性自治组织补贴</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30306</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救济费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30226</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劳务费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8,841,758.95</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2,472,497.44</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31008</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物资储备</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39999</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其他支出</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30307</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医疗费补助</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459,285.00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197,100.00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30227</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委托业务费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602,072.87</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31009</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土地补偿</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313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对社会保障基金补助</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30308</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助学金</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30228</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工会经费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31010</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安置补助</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31302</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对社会保险基金补助</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30309</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奖励金</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3,318,150.00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156,280.00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30229</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福利费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31011</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地上附着物和青苗补偿</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31303</w:t>
            </w: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补充全国社会保障基金</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30310</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个人农业生产补贴</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30231</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公务用车运行维护费</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31012</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拆迁补偿</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30399</w:t>
            </w: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其他对个人和家庭的补助支出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163,560.74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42,194.74</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30239</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其他交通费用</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247,507.63</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57,176.58</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31013</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30240</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税金及附加费用</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31019</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其他交通工具购置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646,000.00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646,000.00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Layout w:type="fixed"/>
          <w:tblCellMar>
            <w:top w:w="0" w:type="dxa"/>
            <w:left w:w="0" w:type="dxa"/>
            <w:bottom w:w="0" w:type="dxa"/>
            <w:right w:w="0" w:type="dxa"/>
          </w:tblCellMar>
        </w:tblPrEx>
        <w:trPr>
          <w:trHeight w:val="324" w:hRule="atLeast"/>
        </w:trPr>
        <w:tc>
          <w:tcPr>
            <w:tcW w:w="124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30299</w:t>
            </w:r>
          </w:p>
        </w:tc>
        <w:tc>
          <w:tcPr>
            <w:tcW w:w="6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其他商品和服务支出</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398,549.00</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122,049.00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31021</w:t>
            </w:r>
          </w:p>
        </w:tc>
        <w:tc>
          <w:tcPr>
            <w:tcW w:w="7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文物和陈列品购置</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9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4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2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Layout w:type="fixed"/>
          <w:tblCellMar>
            <w:top w:w="0" w:type="dxa"/>
            <w:left w:w="0" w:type="dxa"/>
            <w:bottom w:w="0" w:type="dxa"/>
            <w:right w:w="0" w:type="dxa"/>
          </w:tblCellMar>
        </w:tblPrEx>
        <w:trPr>
          <w:trHeight w:val="324" w:hRule="atLeast"/>
        </w:trPr>
        <w:tc>
          <w:tcPr>
            <w:tcW w:w="222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人员经费合计</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52,258,730.44</w:t>
            </w:r>
          </w:p>
        </w:tc>
        <w:tc>
          <w:tcPr>
            <w:tcW w:w="9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48,177,881.44</w:t>
            </w:r>
          </w:p>
        </w:tc>
        <w:tc>
          <w:tcPr>
            <w:tcW w:w="7842" w:type="dxa"/>
            <w:gridSpan w:val="10"/>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公用经费合计</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45,063,467.12</w:t>
            </w:r>
          </w:p>
        </w:tc>
        <w:tc>
          <w:tcPr>
            <w:tcW w:w="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18,109,647.56</w:t>
            </w:r>
          </w:p>
        </w:tc>
      </w:tr>
      <w:tr>
        <w:tblPrEx>
          <w:tblLayout w:type="fixed"/>
          <w:tblCellMar>
            <w:top w:w="0" w:type="dxa"/>
            <w:left w:w="0" w:type="dxa"/>
            <w:bottom w:w="0" w:type="dxa"/>
            <w:right w:w="0" w:type="dxa"/>
          </w:tblCellMar>
        </w:tblPrEx>
        <w:trPr>
          <w:trHeight w:val="324" w:hRule="atLeast"/>
        </w:trPr>
        <w:tc>
          <w:tcPr>
            <w:tcW w:w="5281"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注：本表反映部门本年度一般公共预算财政拨款支出明细情况（其中包括基本支出明细情况）。</w:t>
            </w:r>
          </w:p>
        </w:tc>
        <w:tc>
          <w:tcPr>
            <w:tcW w:w="99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1"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4"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1"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adjustRightInd/>
        <w:spacing w:after="0" w:line="580" w:lineRule="exact"/>
        <w:jc w:val="both"/>
        <w:rPr>
          <w:rFonts w:hint="eastAsia" w:ascii="仿宋" w:hAnsi="仿宋" w:eastAsia="仿宋" w:cs="宋体"/>
          <w:color w:val="000000"/>
          <w:sz w:val="32"/>
          <w:szCs w:val="32"/>
        </w:rPr>
        <w:sectPr>
          <w:pgSz w:w="16838" w:h="11906" w:orient="landscape"/>
          <w:pgMar w:top="1803" w:right="1440" w:bottom="1803" w:left="1383" w:header="708" w:footer="709" w:gutter="0"/>
          <w:cols w:space="0" w:num="1"/>
          <w:rtlGutter w:val="0"/>
          <w:docGrid w:linePitch="360" w:charSpace="0"/>
        </w:sectPr>
      </w:pPr>
    </w:p>
    <w:p>
      <w:pPr>
        <w:adjustRightInd/>
        <w:spacing w:after="0" w:line="580" w:lineRule="exact"/>
        <w:ind w:firstLine="640" w:firstLineChars="200"/>
        <w:jc w:val="both"/>
        <w:rPr>
          <w:rFonts w:hint="eastAsia" w:ascii="仿宋" w:hAnsi="仿宋" w:eastAsia="仿宋" w:cs="宋体"/>
          <w:color w:val="000000"/>
          <w:sz w:val="32"/>
          <w:szCs w:val="32"/>
        </w:rPr>
      </w:pPr>
      <w:r>
        <w:rPr>
          <w:rFonts w:hint="eastAsia" w:ascii="仿宋" w:hAnsi="仿宋" w:eastAsia="仿宋" w:cs="宋体"/>
          <w:color w:val="000000"/>
          <w:sz w:val="32"/>
          <w:szCs w:val="32"/>
        </w:rPr>
        <w:t>7、2018年一般公共预算财政拨款“三公”经费支出决算表 </w:t>
      </w:r>
    </w:p>
    <w:tbl>
      <w:tblPr>
        <w:tblStyle w:val="5"/>
        <w:tblW w:w="14045" w:type="dxa"/>
        <w:tblInd w:w="0" w:type="dxa"/>
        <w:shd w:val="clear" w:color="auto" w:fill="auto"/>
        <w:tblLayout w:type="fixed"/>
        <w:tblCellMar>
          <w:top w:w="0" w:type="dxa"/>
          <w:left w:w="0" w:type="dxa"/>
          <w:bottom w:w="0" w:type="dxa"/>
          <w:right w:w="0" w:type="dxa"/>
        </w:tblCellMar>
      </w:tblPr>
      <w:tblGrid>
        <w:gridCol w:w="2851"/>
        <w:gridCol w:w="1218"/>
        <w:gridCol w:w="712"/>
        <w:gridCol w:w="1069"/>
        <w:gridCol w:w="1366"/>
        <w:gridCol w:w="810"/>
        <w:gridCol w:w="907"/>
        <w:gridCol w:w="1218"/>
        <w:gridCol w:w="670"/>
        <w:gridCol w:w="1069"/>
        <w:gridCol w:w="1367"/>
        <w:gridCol w:w="788"/>
      </w:tblGrid>
      <w:tr>
        <w:tblPrEx>
          <w:shd w:val="clear" w:color="auto" w:fill="auto"/>
          <w:tblLayout w:type="fixed"/>
          <w:tblCellMar>
            <w:top w:w="0" w:type="dxa"/>
            <w:left w:w="0" w:type="dxa"/>
            <w:bottom w:w="0" w:type="dxa"/>
            <w:right w:w="0" w:type="dxa"/>
          </w:tblCellMar>
        </w:tblPrEx>
        <w:trPr>
          <w:trHeight w:val="225" w:hRule="atLeast"/>
        </w:trPr>
        <w:tc>
          <w:tcPr>
            <w:tcW w:w="14045" w:type="dxa"/>
            <w:gridSpan w:val="1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2018年一般公共预算财政拨款“三公”经费支出决算表</w:t>
            </w:r>
          </w:p>
        </w:tc>
      </w:tr>
      <w:tr>
        <w:tblPrEx>
          <w:tblLayout w:type="fixed"/>
          <w:tblCellMar>
            <w:top w:w="0" w:type="dxa"/>
            <w:left w:w="0" w:type="dxa"/>
            <w:bottom w:w="0" w:type="dxa"/>
            <w:right w:w="0" w:type="dxa"/>
          </w:tblCellMar>
        </w:tblPrEx>
        <w:trPr>
          <w:trHeight w:val="225" w:hRule="atLeast"/>
        </w:trPr>
        <w:tc>
          <w:tcPr>
            <w:tcW w:w="285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2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7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81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90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2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6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78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Layout w:type="fixed"/>
          <w:tblCellMar>
            <w:top w:w="0" w:type="dxa"/>
            <w:left w:w="0" w:type="dxa"/>
            <w:bottom w:w="0" w:type="dxa"/>
            <w:right w:w="0" w:type="dxa"/>
          </w:tblCellMar>
        </w:tblPrEx>
        <w:trPr>
          <w:trHeight w:val="225" w:hRule="atLeast"/>
        </w:trPr>
        <w:tc>
          <w:tcPr>
            <w:tcW w:w="285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编制单位：山西省沁源县卫生和计划生育局</w:t>
            </w:r>
          </w:p>
        </w:tc>
        <w:tc>
          <w:tcPr>
            <w:tcW w:w="12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7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8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2019年8月</w:t>
            </w:r>
          </w:p>
        </w:tc>
        <w:tc>
          <w:tcPr>
            <w:tcW w:w="90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21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6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6"/>
                <w:szCs w:val="16"/>
                <w:u w:val="none"/>
              </w:rPr>
            </w:pPr>
          </w:p>
        </w:tc>
        <w:tc>
          <w:tcPr>
            <w:tcW w:w="78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金额单位：元</w:t>
            </w:r>
          </w:p>
        </w:tc>
      </w:tr>
      <w:tr>
        <w:tblPrEx>
          <w:tblLayout w:type="fixed"/>
          <w:tblCellMar>
            <w:top w:w="0" w:type="dxa"/>
            <w:left w:w="0" w:type="dxa"/>
            <w:bottom w:w="0" w:type="dxa"/>
            <w:right w:w="0" w:type="dxa"/>
          </w:tblCellMar>
        </w:tblPrEx>
        <w:trPr>
          <w:trHeight w:val="462" w:hRule="atLeast"/>
        </w:trPr>
        <w:tc>
          <w:tcPr>
            <w:tcW w:w="8026" w:type="dxa"/>
            <w:gridSpan w:val="6"/>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预算数</w:t>
            </w:r>
          </w:p>
        </w:tc>
        <w:tc>
          <w:tcPr>
            <w:tcW w:w="601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决算数</w:t>
            </w:r>
          </w:p>
        </w:tc>
      </w:tr>
      <w:tr>
        <w:tblPrEx>
          <w:tblLayout w:type="fixed"/>
          <w:tblCellMar>
            <w:top w:w="0" w:type="dxa"/>
            <w:left w:w="0" w:type="dxa"/>
            <w:bottom w:w="0" w:type="dxa"/>
            <w:right w:w="0" w:type="dxa"/>
          </w:tblCellMar>
        </w:tblPrEx>
        <w:trPr>
          <w:trHeight w:val="508" w:hRule="atLeast"/>
        </w:trPr>
        <w:tc>
          <w:tcPr>
            <w:tcW w:w="285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21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3147"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公务用车购置及运行维护费</w:t>
            </w:r>
          </w:p>
        </w:tc>
        <w:tc>
          <w:tcPr>
            <w:tcW w:w="81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c>
          <w:tcPr>
            <w:tcW w:w="90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21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因公出国（境）费</w:t>
            </w:r>
          </w:p>
        </w:tc>
        <w:tc>
          <w:tcPr>
            <w:tcW w:w="3106" w:type="dxa"/>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公务用车购置及运行维护费</w:t>
            </w:r>
          </w:p>
        </w:tc>
        <w:tc>
          <w:tcPr>
            <w:tcW w:w="78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r>
      <w:tr>
        <w:tblPrEx>
          <w:tblLayout w:type="fixed"/>
          <w:tblCellMar>
            <w:top w:w="0" w:type="dxa"/>
            <w:left w:w="0" w:type="dxa"/>
            <w:bottom w:w="0" w:type="dxa"/>
            <w:right w:w="0" w:type="dxa"/>
          </w:tblCellMar>
        </w:tblPrEx>
        <w:trPr>
          <w:trHeight w:val="615" w:hRule="atLeast"/>
        </w:trPr>
        <w:tc>
          <w:tcPr>
            <w:tcW w:w="285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1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06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136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公务用车运行维护费</w:t>
            </w:r>
          </w:p>
        </w:tc>
        <w:tc>
          <w:tcPr>
            <w:tcW w:w="81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1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06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公务用车购置费</w:t>
            </w:r>
          </w:p>
        </w:tc>
        <w:tc>
          <w:tcPr>
            <w:tcW w:w="13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公务用车运行维护费</w:t>
            </w:r>
          </w:p>
        </w:tc>
        <w:tc>
          <w:tcPr>
            <w:tcW w:w="78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Layout w:type="fixed"/>
          <w:tblCellMar>
            <w:top w:w="0" w:type="dxa"/>
            <w:left w:w="0" w:type="dxa"/>
            <w:bottom w:w="0" w:type="dxa"/>
            <w:right w:w="0" w:type="dxa"/>
          </w:tblCellMar>
        </w:tblPrEx>
        <w:trPr>
          <w:trHeight w:val="462" w:hRule="atLeast"/>
        </w:trPr>
        <w:tc>
          <w:tcPr>
            <w:tcW w:w="285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2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6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36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8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0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21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6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6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6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7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Layout w:type="fixed"/>
          <w:tblCellMar>
            <w:top w:w="0" w:type="dxa"/>
            <w:left w:w="0" w:type="dxa"/>
            <w:bottom w:w="0" w:type="dxa"/>
            <w:right w:w="0" w:type="dxa"/>
          </w:tblCellMar>
        </w:tblPrEx>
        <w:trPr>
          <w:trHeight w:val="462" w:hRule="atLeast"/>
        </w:trPr>
        <w:tc>
          <w:tcPr>
            <w:tcW w:w="285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22,138.00</w:t>
            </w:r>
          </w:p>
        </w:tc>
        <w:tc>
          <w:tcPr>
            <w:tcW w:w="12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22,138.00</w:t>
            </w:r>
          </w:p>
        </w:tc>
        <w:tc>
          <w:tcPr>
            <w:tcW w:w="9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21,727.00</w:t>
            </w:r>
          </w:p>
        </w:tc>
        <w:tc>
          <w:tcPr>
            <w:tcW w:w="12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21,727.00</w:t>
            </w:r>
          </w:p>
        </w:tc>
      </w:tr>
      <w:tr>
        <w:tblPrEx>
          <w:tblLayout w:type="fixed"/>
          <w:tblCellMar>
            <w:top w:w="0" w:type="dxa"/>
            <w:left w:w="0" w:type="dxa"/>
            <w:bottom w:w="0" w:type="dxa"/>
            <w:right w:w="0" w:type="dxa"/>
          </w:tblCellMar>
        </w:tblPrEx>
        <w:trPr>
          <w:trHeight w:val="385" w:hRule="atLeast"/>
        </w:trPr>
        <w:tc>
          <w:tcPr>
            <w:tcW w:w="14045" w:type="dxa"/>
            <w:gridSpan w:val="1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adjustRightInd/>
        <w:spacing w:after="0" w:line="580" w:lineRule="exact"/>
        <w:ind w:firstLine="640" w:firstLineChars="200"/>
        <w:jc w:val="both"/>
        <w:rPr>
          <w:rFonts w:hint="eastAsia" w:ascii="仿宋" w:hAnsi="仿宋" w:eastAsia="仿宋" w:cs="宋体"/>
          <w:color w:val="000000"/>
          <w:sz w:val="32"/>
          <w:szCs w:val="32"/>
        </w:rPr>
      </w:pPr>
    </w:p>
    <w:p>
      <w:pPr>
        <w:adjustRightInd/>
        <w:spacing w:after="0" w:line="580" w:lineRule="exact"/>
        <w:ind w:firstLine="640" w:firstLineChars="200"/>
        <w:jc w:val="both"/>
        <w:rPr>
          <w:rFonts w:hint="eastAsia" w:ascii="仿宋" w:hAnsi="仿宋" w:eastAsia="仿宋" w:cs="宋体"/>
          <w:color w:val="000000"/>
          <w:sz w:val="32"/>
          <w:szCs w:val="32"/>
        </w:rPr>
      </w:pPr>
    </w:p>
    <w:p>
      <w:pPr>
        <w:adjustRightInd/>
        <w:spacing w:after="0" w:line="580" w:lineRule="exact"/>
        <w:ind w:firstLine="640" w:firstLineChars="200"/>
        <w:jc w:val="both"/>
        <w:rPr>
          <w:rFonts w:hint="eastAsia" w:ascii="仿宋" w:hAnsi="仿宋" w:eastAsia="仿宋" w:cs="宋体"/>
          <w:color w:val="000000"/>
          <w:sz w:val="32"/>
          <w:szCs w:val="32"/>
        </w:rPr>
      </w:pPr>
    </w:p>
    <w:p>
      <w:pPr>
        <w:adjustRightInd/>
        <w:spacing w:after="0" w:line="580" w:lineRule="exact"/>
        <w:ind w:firstLine="640" w:firstLineChars="200"/>
        <w:jc w:val="both"/>
        <w:rPr>
          <w:rFonts w:hint="eastAsia" w:ascii="仿宋" w:hAnsi="仿宋" w:eastAsia="仿宋" w:cs="宋体"/>
          <w:color w:val="000000"/>
          <w:sz w:val="32"/>
          <w:szCs w:val="32"/>
        </w:rPr>
        <w:sectPr>
          <w:pgSz w:w="16838" w:h="11906" w:orient="landscape"/>
          <w:pgMar w:top="1803" w:right="1440" w:bottom="1803" w:left="1383" w:header="708" w:footer="709" w:gutter="0"/>
          <w:cols w:space="0" w:num="1"/>
          <w:rtlGutter w:val="0"/>
          <w:docGrid w:linePitch="360" w:charSpace="0"/>
        </w:sectPr>
      </w:pP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8、2018年政府性基金预算财政拨款收入支出决算表 </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无</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9、2018年部门决算公开相关信息统计表</w:t>
      </w:r>
    </w:p>
    <w:p>
      <w:pPr>
        <w:adjustRightInd/>
        <w:spacing w:after="0" w:line="580" w:lineRule="exact"/>
        <w:jc w:val="both"/>
        <w:rPr>
          <w:rFonts w:ascii="仿宋" w:hAnsi="仿宋" w:eastAsia="仿宋" w:cs="宋体"/>
          <w:color w:val="000000"/>
          <w:sz w:val="32"/>
          <w:szCs w:val="32"/>
        </w:rPr>
      </w:pPr>
      <w:r>
        <w:rPr>
          <w:rFonts w:hint="eastAsia" w:ascii="仿宋" w:hAnsi="仿宋" w:eastAsia="仿宋" w:cs="宋体"/>
          <w:color w:val="000000"/>
          <w:sz w:val="32"/>
          <w:szCs w:val="32"/>
        </w:rPr>
        <w:t>　</w:t>
      </w:r>
    </w:p>
    <w:tbl>
      <w:tblPr>
        <w:tblStyle w:val="5"/>
        <w:tblW w:w="8050" w:type="dxa"/>
        <w:tblInd w:w="96" w:type="dxa"/>
        <w:tblLayout w:type="fixed"/>
        <w:tblCellMar>
          <w:top w:w="0" w:type="dxa"/>
          <w:left w:w="108" w:type="dxa"/>
          <w:bottom w:w="0" w:type="dxa"/>
          <w:right w:w="108" w:type="dxa"/>
        </w:tblCellMar>
      </w:tblPr>
      <w:tblGrid>
        <w:gridCol w:w="3830"/>
        <w:gridCol w:w="1080"/>
        <w:gridCol w:w="1570"/>
        <w:gridCol w:w="1570"/>
      </w:tblGrid>
      <w:tr>
        <w:tblPrEx>
          <w:tblLayout w:type="fixed"/>
          <w:tblCellMar>
            <w:top w:w="0" w:type="dxa"/>
            <w:left w:w="108" w:type="dxa"/>
            <w:bottom w:w="0" w:type="dxa"/>
            <w:right w:w="108" w:type="dxa"/>
          </w:tblCellMar>
        </w:tblPrEx>
        <w:trPr>
          <w:trHeight w:val="262" w:hRule="atLeast"/>
        </w:trPr>
        <w:tc>
          <w:tcPr>
            <w:tcW w:w="8050" w:type="dxa"/>
            <w:gridSpan w:val="4"/>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2018年部门决算公开相关信息统计表</w:t>
            </w:r>
          </w:p>
        </w:tc>
      </w:tr>
      <w:tr>
        <w:tblPrEx>
          <w:tblLayout w:type="fixed"/>
          <w:tblCellMar>
            <w:top w:w="0" w:type="dxa"/>
            <w:left w:w="108" w:type="dxa"/>
            <w:bottom w:w="0" w:type="dxa"/>
            <w:right w:w="108" w:type="dxa"/>
          </w:tblCellMar>
        </w:tblPrEx>
        <w:trPr>
          <w:trHeight w:val="262" w:hRule="atLeast"/>
        </w:trPr>
        <w:tc>
          <w:tcPr>
            <w:tcW w:w="383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08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57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570" w:type="dxa"/>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公开09表</w:t>
            </w:r>
          </w:p>
        </w:tc>
      </w:tr>
      <w:tr>
        <w:tblPrEx>
          <w:tblLayout w:type="fixed"/>
          <w:tblCellMar>
            <w:top w:w="0" w:type="dxa"/>
            <w:left w:w="108" w:type="dxa"/>
            <w:bottom w:w="0" w:type="dxa"/>
            <w:right w:w="108" w:type="dxa"/>
          </w:tblCellMar>
        </w:tblPrEx>
        <w:trPr>
          <w:trHeight w:val="262" w:hRule="atLeast"/>
        </w:trPr>
        <w:tc>
          <w:tcPr>
            <w:tcW w:w="3830" w:type="dxa"/>
            <w:tcBorders>
              <w:top w:val="nil"/>
              <w:left w:val="nil"/>
              <w:bottom w:val="nil"/>
              <w:right w:val="nil"/>
            </w:tcBorders>
            <w:shd w:val="clear" w:color="auto" w:fill="auto"/>
            <w:noWrap/>
            <w:vAlign w:val="bottom"/>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编制单位：山西省沁源县卫生和计划生育局</w:t>
            </w:r>
          </w:p>
        </w:tc>
        <w:tc>
          <w:tcPr>
            <w:tcW w:w="1080" w:type="dxa"/>
            <w:tcBorders>
              <w:top w:val="nil"/>
              <w:left w:val="nil"/>
              <w:bottom w:val="nil"/>
              <w:right w:val="nil"/>
            </w:tcBorders>
            <w:shd w:val="clear" w:color="auto" w:fill="auto"/>
            <w:noWrap/>
            <w:vAlign w:val="bottom"/>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2019年8月</w:t>
            </w:r>
          </w:p>
        </w:tc>
        <w:tc>
          <w:tcPr>
            <w:tcW w:w="1570" w:type="dxa"/>
            <w:tcBorders>
              <w:top w:val="nil"/>
              <w:left w:val="nil"/>
              <w:bottom w:val="nil"/>
              <w:right w:val="nil"/>
            </w:tcBorders>
            <w:shd w:val="clear" w:color="auto" w:fill="auto"/>
            <w:noWrap/>
            <w:vAlign w:val="bottom"/>
          </w:tcPr>
          <w:p>
            <w:pPr>
              <w:adjustRightInd/>
              <w:snapToGrid/>
              <w:spacing w:after="0"/>
              <w:rPr>
                <w:rFonts w:ascii="Arial" w:hAnsi="Arial" w:eastAsia="宋体" w:cs="Arial"/>
                <w:color w:val="000000"/>
                <w:sz w:val="16"/>
                <w:szCs w:val="16"/>
              </w:rPr>
            </w:pPr>
          </w:p>
        </w:tc>
        <w:tc>
          <w:tcPr>
            <w:tcW w:w="1570" w:type="dxa"/>
            <w:tcBorders>
              <w:top w:val="nil"/>
              <w:left w:val="nil"/>
              <w:bottom w:val="nil"/>
              <w:right w:val="nil"/>
            </w:tcBorders>
            <w:shd w:val="clear" w:color="auto" w:fill="auto"/>
            <w:noWrap/>
            <w:vAlign w:val="bottom"/>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金额单位：元</w:t>
            </w:r>
          </w:p>
        </w:tc>
      </w:tr>
      <w:tr>
        <w:tblPrEx>
          <w:tblLayout w:type="fixed"/>
          <w:tblCellMar>
            <w:top w:w="0" w:type="dxa"/>
            <w:left w:w="108" w:type="dxa"/>
            <w:bottom w:w="0" w:type="dxa"/>
            <w:right w:w="108" w:type="dxa"/>
          </w:tblCellMar>
        </w:tblPrEx>
        <w:trPr>
          <w:trHeight w:val="306" w:hRule="atLeast"/>
        </w:trPr>
        <w:tc>
          <w:tcPr>
            <w:tcW w:w="805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b/>
                <w:bCs/>
                <w:color w:val="000000"/>
                <w:sz w:val="16"/>
                <w:szCs w:val="16"/>
              </w:rPr>
            </w:pPr>
            <w:r>
              <w:rPr>
                <w:rFonts w:hint="eastAsia" w:ascii="宋体" w:hAnsi="宋体" w:eastAsia="宋体" w:cs="Arial"/>
                <w:b/>
                <w:bCs/>
                <w:color w:val="000000"/>
                <w:sz w:val="16"/>
                <w:szCs w:val="16"/>
              </w:rPr>
              <w:t>一、政府采购情况</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行次</w:t>
            </w:r>
          </w:p>
        </w:tc>
        <w:tc>
          <w:tcPr>
            <w:tcW w:w="157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采购预算</w:t>
            </w:r>
          </w:p>
        </w:tc>
        <w:tc>
          <w:tcPr>
            <w:tcW w:w="1570" w:type="dxa"/>
            <w:tcBorders>
              <w:top w:val="nil"/>
              <w:left w:val="nil"/>
              <w:bottom w:val="single" w:color="000000" w:sz="4" w:space="0"/>
              <w:right w:val="single" w:color="000000" w:sz="8"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采购金额</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合计</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w:t>
            </w:r>
          </w:p>
        </w:tc>
        <w:tc>
          <w:tcPr>
            <w:tcW w:w="157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26,492,246.30</w:t>
            </w:r>
          </w:p>
        </w:tc>
        <w:tc>
          <w:tcPr>
            <w:tcW w:w="157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26,456,041.67</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货物</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2</w:t>
            </w:r>
          </w:p>
        </w:tc>
        <w:tc>
          <w:tcPr>
            <w:tcW w:w="157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24,045,586.49</w:t>
            </w:r>
          </w:p>
        </w:tc>
        <w:tc>
          <w:tcPr>
            <w:tcW w:w="157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24,031,198.49</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工程</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3</w:t>
            </w:r>
          </w:p>
        </w:tc>
        <w:tc>
          <w:tcPr>
            <w:tcW w:w="157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915,659.81</w:t>
            </w:r>
          </w:p>
        </w:tc>
        <w:tc>
          <w:tcPr>
            <w:tcW w:w="157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910,843.18</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服务</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4</w:t>
            </w:r>
          </w:p>
        </w:tc>
        <w:tc>
          <w:tcPr>
            <w:tcW w:w="1570" w:type="dxa"/>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1,531,000.00</w:t>
            </w:r>
          </w:p>
        </w:tc>
        <w:tc>
          <w:tcPr>
            <w:tcW w:w="1570" w:type="dxa"/>
            <w:tcBorders>
              <w:top w:val="nil"/>
              <w:left w:val="nil"/>
              <w:bottom w:val="single" w:color="000000" w:sz="4" w:space="0"/>
              <w:right w:val="single" w:color="000000" w:sz="8"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1,514,000.00</w:t>
            </w:r>
          </w:p>
        </w:tc>
      </w:tr>
      <w:tr>
        <w:tblPrEx>
          <w:tblLayout w:type="fixed"/>
          <w:tblCellMar>
            <w:top w:w="0" w:type="dxa"/>
            <w:left w:w="108" w:type="dxa"/>
            <w:bottom w:w="0" w:type="dxa"/>
            <w:right w:w="108" w:type="dxa"/>
          </w:tblCellMar>
        </w:tblPrEx>
        <w:trPr>
          <w:trHeight w:val="306" w:hRule="atLeast"/>
        </w:trPr>
        <w:tc>
          <w:tcPr>
            <w:tcW w:w="8050" w:type="dxa"/>
            <w:gridSpan w:val="4"/>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　</w:t>
            </w:r>
          </w:p>
        </w:tc>
      </w:tr>
      <w:tr>
        <w:tblPrEx>
          <w:tblLayout w:type="fixed"/>
          <w:tblCellMar>
            <w:top w:w="0" w:type="dxa"/>
            <w:left w:w="108" w:type="dxa"/>
            <w:bottom w:w="0" w:type="dxa"/>
            <w:right w:w="108" w:type="dxa"/>
          </w:tblCellMar>
        </w:tblPrEx>
        <w:trPr>
          <w:trHeight w:val="306" w:hRule="atLeast"/>
        </w:trPr>
        <w:tc>
          <w:tcPr>
            <w:tcW w:w="8050" w:type="dxa"/>
            <w:gridSpan w:val="4"/>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b/>
                <w:bCs/>
                <w:color w:val="000000"/>
                <w:sz w:val="16"/>
                <w:szCs w:val="16"/>
              </w:rPr>
            </w:pPr>
            <w:r>
              <w:rPr>
                <w:rFonts w:hint="eastAsia" w:ascii="宋体" w:hAnsi="宋体" w:eastAsia="宋体" w:cs="Arial"/>
                <w:b/>
                <w:bCs/>
                <w:color w:val="000000"/>
                <w:sz w:val="16"/>
                <w:szCs w:val="16"/>
              </w:rPr>
              <w:t>二、机关运行经费</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项目</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　</w:t>
            </w:r>
          </w:p>
        </w:tc>
        <w:tc>
          <w:tcPr>
            <w:tcW w:w="3140" w:type="dxa"/>
            <w:gridSpan w:val="2"/>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统计数</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（一）行政单位</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5</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538,840.32</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（二）参照公务员法管理事业单位</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6</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0.00</w:t>
            </w:r>
          </w:p>
        </w:tc>
      </w:tr>
      <w:tr>
        <w:tblPrEx>
          <w:tblLayout w:type="fixed"/>
          <w:tblCellMar>
            <w:top w:w="0" w:type="dxa"/>
            <w:left w:w="108" w:type="dxa"/>
            <w:bottom w:w="0" w:type="dxa"/>
            <w:right w:w="108" w:type="dxa"/>
          </w:tblCellMar>
        </w:tblPrEx>
        <w:trPr>
          <w:trHeight w:val="306" w:hRule="atLeast"/>
        </w:trPr>
        <w:tc>
          <w:tcPr>
            <w:tcW w:w="8050" w:type="dxa"/>
            <w:gridSpan w:val="4"/>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b/>
                <w:bCs/>
                <w:color w:val="000000"/>
                <w:sz w:val="16"/>
                <w:szCs w:val="16"/>
              </w:rPr>
            </w:pPr>
            <w:r>
              <w:rPr>
                <w:rFonts w:hint="eastAsia" w:ascii="宋体" w:hAnsi="宋体" w:eastAsia="宋体" w:cs="Arial"/>
                <w:b/>
                <w:bCs/>
                <w:color w:val="000000"/>
                <w:sz w:val="16"/>
                <w:szCs w:val="16"/>
              </w:rPr>
              <w:t>三、国有资产占用情况</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（一）车辆数合计（辆）</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7</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48</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1.副部（省）级及以上领导用车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8</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2.主要领导干部用车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9</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3.机要通信用车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10</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4.应急保障用车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11</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5.执法执勤用车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12</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6.特种专业技术用车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13</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21</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7.离退休干部用车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14</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0</w:t>
            </w:r>
          </w:p>
        </w:tc>
      </w:tr>
      <w:tr>
        <w:tblPrEx>
          <w:tblLayout w:type="fixed"/>
          <w:tblCellMar>
            <w:top w:w="0" w:type="dxa"/>
            <w:left w:w="108" w:type="dxa"/>
            <w:bottom w:w="0" w:type="dxa"/>
            <w:right w:w="108" w:type="dxa"/>
          </w:tblCellMar>
        </w:tblPrEx>
        <w:trPr>
          <w:trHeight w:val="306" w:hRule="atLeast"/>
        </w:trPr>
        <w:tc>
          <w:tcPr>
            <w:tcW w:w="3830" w:type="dxa"/>
            <w:tcBorders>
              <w:top w:val="nil"/>
              <w:left w:val="single" w:color="000000" w:sz="4" w:space="0"/>
              <w:bottom w:val="single" w:color="000000" w:sz="4" w:space="0"/>
              <w:right w:val="single" w:color="000000" w:sz="4" w:space="0"/>
            </w:tcBorders>
            <w:shd w:val="clear" w:color="FFFFFF" w:fill="C0C0C0"/>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8.其他用车</w:t>
            </w:r>
          </w:p>
        </w:tc>
        <w:tc>
          <w:tcPr>
            <w:tcW w:w="1080" w:type="dxa"/>
            <w:tcBorders>
              <w:top w:val="nil"/>
              <w:left w:val="nil"/>
              <w:bottom w:val="single" w:color="000000" w:sz="4"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15</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27</w:t>
            </w:r>
          </w:p>
        </w:tc>
      </w:tr>
      <w:tr>
        <w:tblPrEx>
          <w:tblLayout w:type="fixed"/>
          <w:tblCellMar>
            <w:top w:w="0" w:type="dxa"/>
            <w:left w:w="108" w:type="dxa"/>
            <w:bottom w:w="0" w:type="dxa"/>
            <w:right w:w="108" w:type="dxa"/>
          </w:tblCellMar>
        </w:tblPrEx>
        <w:trPr>
          <w:trHeight w:val="610" w:hRule="atLeast"/>
        </w:trPr>
        <w:tc>
          <w:tcPr>
            <w:tcW w:w="3830" w:type="dxa"/>
            <w:tcBorders>
              <w:top w:val="nil"/>
              <w:left w:val="single" w:color="000000" w:sz="4" w:space="0"/>
              <w:bottom w:val="single" w:color="000000" w:sz="4" w:space="0"/>
              <w:right w:val="single" w:color="000000" w:sz="4" w:space="0"/>
            </w:tcBorders>
            <w:shd w:val="clear" w:color="FFFFFF" w:fill="C0C0C0"/>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（二）单价50万元以上通用设备        （台、套）</w:t>
            </w:r>
          </w:p>
        </w:tc>
        <w:tc>
          <w:tcPr>
            <w:tcW w:w="1080"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16</w:t>
            </w:r>
          </w:p>
        </w:tc>
        <w:tc>
          <w:tcPr>
            <w:tcW w:w="3140" w:type="dxa"/>
            <w:gridSpan w:val="2"/>
            <w:tcBorders>
              <w:top w:val="nil"/>
              <w:left w:val="nil"/>
              <w:bottom w:val="single" w:color="000000" w:sz="4"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5</w:t>
            </w:r>
          </w:p>
        </w:tc>
      </w:tr>
      <w:tr>
        <w:tblPrEx>
          <w:tblLayout w:type="fixed"/>
          <w:tblCellMar>
            <w:top w:w="0" w:type="dxa"/>
            <w:left w:w="108" w:type="dxa"/>
            <w:bottom w:w="0" w:type="dxa"/>
            <w:right w:w="108" w:type="dxa"/>
          </w:tblCellMar>
        </w:tblPrEx>
        <w:trPr>
          <w:trHeight w:val="610" w:hRule="atLeast"/>
        </w:trPr>
        <w:tc>
          <w:tcPr>
            <w:tcW w:w="3830" w:type="dxa"/>
            <w:tcBorders>
              <w:top w:val="nil"/>
              <w:left w:val="single" w:color="000000" w:sz="4" w:space="0"/>
              <w:bottom w:val="single" w:color="000000" w:sz="8" w:space="0"/>
              <w:right w:val="single" w:color="000000" w:sz="4" w:space="0"/>
            </w:tcBorders>
            <w:shd w:val="clear" w:color="FFFFFF" w:fill="C0C0C0"/>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（三）单价100万元以上专用设备       （台、套）</w:t>
            </w:r>
          </w:p>
        </w:tc>
        <w:tc>
          <w:tcPr>
            <w:tcW w:w="1080" w:type="dxa"/>
            <w:tcBorders>
              <w:top w:val="nil"/>
              <w:left w:val="nil"/>
              <w:bottom w:val="single" w:color="000000" w:sz="8" w:space="0"/>
              <w:right w:val="single" w:color="000000" w:sz="4" w:space="0"/>
            </w:tcBorders>
            <w:shd w:val="clear" w:color="FFFFFF" w:fill="C0C0C0"/>
            <w:noWrap/>
            <w:vAlign w:val="center"/>
          </w:tcPr>
          <w:p>
            <w:pPr>
              <w:adjustRightInd/>
              <w:snapToGrid/>
              <w:spacing w:after="0"/>
              <w:jc w:val="center"/>
              <w:rPr>
                <w:rFonts w:ascii="宋体" w:hAnsi="宋体" w:eastAsia="宋体" w:cs="Arial"/>
                <w:color w:val="000000"/>
                <w:sz w:val="16"/>
                <w:szCs w:val="16"/>
              </w:rPr>
            </w:pPr>
            <w:r>
              <w:rPr>
                <w:rFonts w:hint="eastAsia" w:ascii="宋体" w:hAnsi="宋体" w:eastAsia="宋体" w:cs="Arial"/>
                <w:color w:val="000000"/>
                <w:sz w:val="16"/>
                <w:szCs w:val="16"/>
              </w:rPr>
              <w:t>17</w:t>
            </w:r>
          </w:p>
        </w:tc>
        <w:tc>
          <w:tcPr>
            <w:tcW w:w="3140" w:type="dxa"/>
            <w:gridSpan w:val="2"/>
            <w:tcBorders>
              <w:top w:val="nil"/>
              <w:left w:val="nil"/>
              <w:bottom w:val="single" w:color="000000" w:sz="8" w:space="0"/>
              <w:right w:val="single" w:color="000000" w:sz="4" w:space="0"/>
            </w:tcBorders>
            <w:shd w:val="clear" w:color="auto" w:fill="auto"/>
            <w:noWrap/>
            <w:vAlign w:val="center"/>
          </w:tcPr>
          <w:p>
            <w:pPr>
              <w:adjustRightInd/>
              <w:snapToGrid/>
              <w:spacing w:after="0"/>
              <w:jc w:val="right"/>
              <w:rPr>
                <w:rFonts w:ascii="宋体" w:hAnsi="宋体" w:eastAsia="宋体" w:cs="Arial"/>
                <w:color w:val="000000"/>
                <w:sz w:val="16"/>
                <w:szCs w:val="16"/>
              </w:rPr>
            </w:pPr>
            <w:r>
              <w:rPr>
                <w:rFonts w:hint="eastAsia" w:ascii="宋体" w:hAnsi="宋体" w:eastAsia="宋体" w:cs="Arial"/>
                <w:color w:val="000000"/>
                <w:sz w:val="16"/>
                <w:szCs w:val="16"/>
              </w:rPr>
              <w:t>11</w:t>
            </w:r>
          </w:p>
        </w:tc>
      </w:tr>
      <w:tr>
        <w:tblPrEx>
          <w:tblLayout w:type="fixed"/>
          <w:tblCellMar>
            <w:top w:w="0" w:type="dxa"/>
            <w:left w:w="108" w:type="dxa"/>
            <w:bottom w:w="0" w:type="dxa"/>
            <w:right w:w="108" w:type="dxa"/>
          </w:tblCellMar>
        </w:tblPrEx>
        <w:trPr>
          <w:trHeight w:val="306" w:hRule="atLeast"/>
        </w:trPr>
        <w:tc>
          <w:tcPr>
            <w:tcW w:w="8050" w:type="dxa"/>
            <w:gridSpan w:val="4"/>
            <w:tcBorders>
              <w:top w:val="nil"/>
              <w:left w:val="nil"/>
              <w:bottom w:val="nil"/>
              <w:right w:val="nil"/>
            </w:tcBorders>
            <w:shd w:val="clear" w:color="auto" w:fill="auto"/>
            <w:noWrap/>
            <w:vAlign w:val="center"/>
          </w:tcPr>
          <w:p>
            <w:pPr>
              <w:adjustRightInd/>
              <w:snapToGrid/>
              <w:spacing w:after="0"/>
              <w:rPr>
                <w:rFonts w:ascii="宋体" w:hAnsi="宋体" w:eastAsia="宋体" w:cs="Arial"/>
                <w:color w:val="000000"/>
                <w:sz w:val="16"/>
                <w:szCs w:val="16"/>
              </w:rPr>
            </w:pPr>
            <w:r>
              <w:rPr>
                <w:rFonts w:hint="eastAsia" w:ascii="宋体" w:hAnsi="宋体" w:eastAsia="宋体" w:cs="Arial"/>
                <w:color w:val="000000"/>
                <w:sz w:val="16"/>
                <w:szCs w:val="16"/>
              </w:rPr>
              <w:t>注：本表反映部门本年度政府采购及机关运行经费和国有资产占用情况。</w:t>
            </w:r>
          </w:p>
        </w:tc>
      </w:tr>
    </w:tbl>
    <w:p>
      <w:pPr>
        <w:adjustRightInd/>
        <w:spacing w:after="0" w:line="580" w:lineRule="exact"/>
        <w:ind w:firstLine="640" w:firstLineChars="200"/>
        <w:jc w:val="both"/>
        <w:rPr>
          <w:rFonts w:ascii="黑体" w:hAnsi="黑体" w:eastAsia="黑体" w:cs="宋体"/>
          <w:color w:val="000000"/>
          <w:sz w:val="32"/>
          <w:szCs w:val="32"/>
        </w:rPr>
      </w:pPr>
      <w:r>
        <w:rPr>
          <w:rFonts w:hint="eastAsia" w:ascii="黑体" w:hAnsi="黑体" w:eastAsia="黑体" w:cs="宋体"/>
          <w:color w:val="000000"/>
          <w:sz w:val="32"/>
          <w:szCs w:val="32"/>
        </w:rPr>
        <w:t xml:space="preserve">第三部分 </w:t>
      </w:r>
      <w:r>
        <w:rPr>
          <w:rFonts w:hint="eastAsia" w:ascii="宋体" w:hAnsi="宋体" w:eastAsia="宋体" w:cs="宋体"/>
          <w:color w:val="000000"/>
          <w:sz w:val="32"/>
          <w:szCs w:val="32"/>
        </w:rPr>
        <w:t>  </w:t>
      </w:r>
      <w:r>
        <w:rPr>
          <w:rFonts w:hint="eastAsia" w:ascii="黑体" w:hAnsi="黑体" w:eastAsia="黑体" w:cs="黑体"/>
          <w:color w:val="000000"/>
          <w:sz w:val="32"/>
          <w:szCs w:val="32"/>
        </w:rPr>
        <w:t>2018</w:t>
      </w:r>
      <w:r>
        <w:rPr>
          <w:rFonts w:hint="eastAsia" w:ascii="黑体" w:hAnsi="黑体" w:eastAsia="黑体" w:cs="宋体"/>
          <w:color w:val="000000"/>
          <w:sz w:val="32"/>
          <w:szCs w:val="32"/>
        </w:rPr>
        <w:t>年度部门决算情况说明</w:t>
      </w:r>
    </w:p>
    <w:p>
      <w:pPr>
        <w:pStyle w:val="4"/>
        <w:spacing w:before="75" w:beforeAutospacing="0" w:after="75" w:afterAutospacing="0" w:line="504" w:lineRule="atLeas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收入支出情况</w:t>
      </w:r>
    </w:p>
    <w:p>
      <w:pPr>
        <w:pStyle w:val="4"/>
        <w:spacing w:before="75" w:beforeAutospacing="0" w:after="75" w:afterAutospacing="0" w:line="504"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2018年度我部门财政拨款收入合计208714920.96元，其中一般公共预算财政拨款97037323.33元，上级补助收入432195元，事业收入110399841.64元，其他收入845560.99元。上年结转结余5182162.6元。</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2018年支出合计197009437.14元，包括：社会保障和就业支出6139822.29元，医疗卫生与计划生育支出182187470.05元，节能环保支出500000.00元，城乡社区支出5285759.00元，农林水支出1624.00元，住房保障支出2894761.8.00元。年末财政拨款结转和结余资金4897288.37元，（其中：基本支出结转259080.96元，项目支出结转和结余4638207.41元）。</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一般公共预算财政拨款基本支出中，工资福利支出47398192.7元，商品和服务支出10580847.56元，对个人和家庭的补助779688.74元，其他资本性支出7528800元。</w:t>
      </w:r>
    </w:p>
    <w:p>
      <w:pPr>
        <w:pStyle w:val="4"/>
        <w:spacing w:before="75" w:beforeAutospacing="0" w:after="75" w:afterAutospacing="0" w:line="504" w:lineRule="atLeast"/>
        <w:ind w:firstLine="640" w:firstLineChars="200"/>
        <w:rPr>
          <w:rFonts w:ascii="仿宋_GB2312" w:hAnsi="Times New Roman" w:eastAsia="仿宋_GB2312" w:cs="Times New Roman"/>
          <w:kern w:val="2"/>
          <w:sz w:val="32"/>
          <w:szCs w:val="21"/>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、“三公经费”支出情况：</w:t>
      </w:r>
      <w:r>
        <w:rPr>
          <w:rFonts w:hint="eastAsia" w:ascii="仿宋_GB2312" w:hAnsi="Times New Roman" w:eastAsia="仿宋_GB2312" w:cs="Times New Roman"/>
          <w:kern w:val="2"/>
          <w:sz w:val="32"/>
          <w:szCs w:val="21"/>
        </w:rPr>
        <w:t>无因公出国（境）费用支出；公务接待费用支出21727元，无公务用车运行维护费。</w:t>
      </w:r>
    </w:p>
    <w:p>
      <w:pPr>
        <w:pStyle w:val="4"/>
        <w:spacing w:before="75" w:beforeAutospacing="0" w:after="75" w:afterAutospacing="0" w:line="504" w:lineRule="atLeas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资产变动情况：年初资产合计275417316.73元，其中流动资产60928806.89元，固定资产202266214.84元，年末资产合计348791243.34元，其中流动资产70571694.84元，固定资产264497693.93元，本年度新增固定资产62231479.09元，属上级调拨资产和本级自行购置。</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lang w:val="en-US" w:eastAsia="zh-CN"/>
        </w:rPr>
        <w:t>4</w:t>
      </w:r>
      <w:r>
        <w:rPr>
          <w:rFonts w:hint="eastAsia" w:ascii="仿宋" w:hAnsi="仿宋" w:eastAsia="仿宋" w:cs="宋体"/>
          <w:color w:val="000000"/>
          <w:sz w:val="32"/>
          <w:szCs w:val="32"/>
        </w:rPr>
        <w:t>、2018年我部门机关运行经费538840.32元。商品和服务支出中：印刷费76176.56元，电费7869.76元，邮电费11782元，维修（护）费2220元，劳务费351980元，其他交通费用8016元，其他商品和服务支出74146元。资本性支出中办公设备购置6650元。主要是局机关和下属事业单位的工作经费支出，以及其他运行专项经费支出。</w:t>
      </w:r>
    </w:p>
    <w:p>
      <w:pPr>
        <w:adjustRightInd/>
        <w:spacing w:after="0" w:line="580" w:lineRule="exact"/>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rPr>
        <w:t>、2018年我单位政府采购26456041.67元，货物24,031,198.49元，工程910,843.18元，服务1,514,000.00元。</w:t>
      </w:r>
    </w:p>
    <w:p>
      <w:pPr>
        <w:adjustRightInd/>
        <w:spacing w:after="0" w:line="580" w:lineRule="exact"/>
        <w:ind w:firstLine="640" w:firstLineChars="200"/>
        <w:jc w:val="both"/>
        <w:rPr>
          <w:rFonts w:hint="eastAsia" w:ascii="仿宋" w:hAnsi="仿宋" w:eastAsia="仿宋" w:cs="宋体"/>
          <w:color w:val="000000"/>
          <w:sz w:val="32"/>
          <w:szCs w:val="32"/>
        </w:rPr>
      </w:pPr>
      <w:r>
        <w:rPr>
          <w:rFonts w:hint="eastAsia" w:ascii="仿宋" w:hAnsi="仿宋" w:eastAsia="仿宋" w:cs="宋体"/>
          <w:color w:val="000000"/>
          <w:sz w:val="32"/>
          <w:szCs w:val="32"/>
          <w:lang w:val="en-US" w:eastAsia="zh-CN"/>
        </w:rPr>
        <w:t>6</w:t>
      </w:r>
      <w:r>
        <w:rPr>
          <w:rFonts w:hint="eastAsia" w:ascii="仿宋" w:hAnsi="仿宋" w:eastAsia="仿宋" w:cs="宋体"/>
          <w:color w:val="000000"/>
          <w:sz w:val="32"/>
          <w:szCs w:val="32"/>
        </w:rPr>
        <w:t>、单位绩效评价工作情况及评价结果:2018年我单位实行绩效目标管理的项目共34个，均为一般公共预算拨款61261260元。2018年年底，34个项目均已按年度绩效目标完成。</w:t>
      </w:r>
    </w:p>
    <w:p>
      <w:pPr>
        <w:adjustRightInd/>
        <w:spacing w:after="0" w:line="580" w:lineRule="exact"/>
        <w:ind w:firstLine="643" w:firstLineChars="200"/>
        <w:jc w:val="both"/>
        <w:rPr>
          <w:rFonts w:ascii="黑体" w:hAnsi="黑体" w:eastAsia="黑体" w:cs="宋体"/>
          <w:b/>
          <w:bCs/>
          <w:color w:val="000000"/>
          <w:sz w:val="32"/>
          <w:szCs w:val="32"/>
        </w:rPr>
      </w:pPr>
      <w:r>
        <w:rPr>
          <w:rFonts w:hint="eastAsia" w:ascii="黑体" w:hAnsi="黑体" w:eastAsia="黑体" w:cs="宋体"/>
          <w:b/>
          <w:bCs/>
          <w:color w:val="000000"/>
          <w:sz w:val="32"/>
          <w:szCs w:val="32"/>
        </w:rPr>
        <w:t>第四部分</w:t>
      </w:r>
      <w:r>
        <w:rPr>
          <w:rFonts w:hint="eastAsia" w:ascii="宋体" w:hAnsi="宋体" w:eastAsia="宋体" w:cs="宋体"/>
          <w:b/>
          <w:bCs/>
          <w:color w:val="000000"/>
          <w:sz w:val="32"/>
          <w:szCs w:val="32"/>
        </w:rPr>
        <w:t> </w:t>
      </w:r>
      <w:r>
        <w:rPr>
          <w:rFonts w:hint="eastAsia" w:ascii="黑体" w:hAnsi="黑体" w:eastAsia="黑体" w:cs="黑体"/>
          <w:b/>
          <w:bCs/>
          <w:color w:val="000000"/>
          <w:sz w:val="32"/>
          <w:szCs w:val="32"/>
        </w:rPr>
        <w:t xml:space="preserve"> </w:t>
      </w:r>
      <w:r>
        <w:rPr>
          <w:rFonts w:hint="eastAsia" w:ascii="黑体" w:hAnsi="黑体" w:eastAsia="黑体" w:cs="宋体"/>
          <w:b/>
          <w:bCs/>
          <w:color w:val="000000"/>
          <w:sz w:val="32"/>
          <w:szCs w:val="32"/>
        </w:rPr>
        <w:t>名词解释</w:t>
      </w:r>
    </w:p>
    <w:p>
      <w:pPr>
        <w:adjustRightIn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 xml:space="preserve">1、 财政拨款收入：指中央 财政当年拨付的资金。 </w:t>
      </w:r>
    </w:p>
    <w:p>
      <w:pPr>
        <w:adjustRightInd/>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2、 年初结转和结余:指以前年度尚未完成、结转到本年按有关规定继续使用的资金。 </w:t>
      </w:r>
    </w:p>
    <w:p>
      <w:pPr>
        <w:adjustRightInd/>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3、 年末结转和结余：指本年度或以前年度预算安排、客观条件发生变化，无法按原计划实施，需要延迟到以后年度继续使用的资金。 </w:t>
      </w:r>
    </w:p>
    <w:p>
      <w:pPr>
        <w:adjustRightInd/>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4、 基本支出：指为保障机构正常运转、完成日常工作任务而发生的人员支出和公用支出。 </w:t>
      </w:r>
    </w:p>
    <w:p>
      <w:pPr>
        <w:adjustRightInd/>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5、 项目支出：指在基本支出之外为完成特定行政任务和事业发展目标所发生的支出。 </w:t>
      </w:r>
    </w:p>
    <w:p>
      <w:pPr>
        <w:adjustRightInd/>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6、 “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 </w:t>
      </w:r>
    </w:p>
    <w:p>
      <w:pPr>
        <w:adjustRightInd/>
        <w:spacing w:after="0" w:line="560" w:lineRule="exact"/>
        <w:ind w:firstLine="640" w:firstLineChars="200"/>
        <w:jc w:val="both"/>
        <w:rPr>
          <w:rFonts w:ascii="仿宋" w:hAnsi="仿宋" w:eastAsia="仿宋" w:cs="宋体"/>
          <w:color w:val="000000"/>
          <w:sz w:val="32"/>
          <w:szCs w:val="32"/>
        </w:rPr>
      </w:pPr>
      <w:r>
        <w:rPr>
          <w:rFonts w:hint="eastAsia" w:ascii="仿宋" w:hAnsi="仿宋" w:eastAsia="仿宋"/>
          <w:sz w:val="32"/>
          <w:szCs w:val="32"/>
        </w:rPr>
        <w:t>7、机关运行经费：指行政单位和参照公务员法管理的事业单位使用一般公共预算安排的基本支出中的日常公用经费支出。</w:t>
      </w:r>
    </w:p>
    <w:p>
      <w:pPr>
        <w:adjustRightInd/>
        <w:spacing w:after="0" w:line="560" w:lineRule="exact"/>
        <w:jc w:val="both"/>
        <w:rPr>
          <w:rFonts w:ascii="仿宋" w:hAnsi="仿宋" w:eastAsia="仿宋" w:cs="宋体"/>
          <w:color w:val="000000"/>
          <w:sz w:val="32"/>
          <w:szCs w:val="32"/>
        </w:rPr>
      </w:pPr>
    </w:p>
    <w:p>
      <w:pPr>
        <w:adjustRightInd/>
        <w:spacing w:after="0" w:line="560" w:lineRule="exact"/>
        <w:ind w:firstLine="5120" w:firstLineChars="1600"/>
        <w:jc w:val="both"/>
        <w:rPr>
          <w:rFonts w:ascii="仿宋" w:hAnsi="仿宋" w:eastAsia="仿宋" w:cs="宋体"/>
          <w:color w:val="000000"/>
          <w:sz w:val="32"/>
          <w:szCs w:val="32"/>
        </w:rPr>
      </w:pPr>
    </w:p>
    <w:p>
      <w:pPr>
        <w:adjustRightInd/>
        <w:spacing w:after="0" w:line="560" w:lineRule="exact"/>
        <w:ind w:firstLine="5120" w:firstLineChars="1600"/>
        <w:jc w:val="both"/>
        <w:rPr>
          <w:rFonts w:ascii="仿宋" w:hAnsi="仿宋" w:eastAsia="仿宋" w:cs="宋体"/>
          <w:color w:val="000000"/>
          <w:sz w:val="32"/>
          <w:szCs w:val="32"/>
        </w:rPr>
      </w:pPr>
      <w:bookmarkStart w:id="0" w:name="_GoBack"/>
      <w:bookmarkEnd w:id="0"/>
    </w:p>
    <w:sectPr>
      <w:pgSz w:w="11906" w:h="16838"/>
      <w:pgMar w:top="1440" w:right="1803" w:bottom="1383" w:left="180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50DE4"/>
    <w:rsid w:val="00165779"/>
    <w:rsid w:val="001E56B8"/>
    <w:rsid w:val="002A3985"/>
    <w:rsid w:val="00323B43"/>
    <w:rsid w:val="003259AD"/>
    <w:rsid w:val="00340699"/>
    <w:rsid w:val="003D37D8"/>
    <w:rsid w:val="003E4FC3"/>
    <w:rsid w:val="00426133"/>
    <w:rsid w:val="004358AB"/>
    <w:rsid w:val="005409BC"/>
    <w:rsid w:val="006344B1"/>
    <w:rsid w:val="00657FE0"/>
    <w:rsid w:val="006658B0"/>
    <w:rsid w:val="006E33BC"/>
    <w:rsid w:val="00723C5A"/>
    <w:rsid w:val="007942EB"/>
    <w:rsid w:val="008811F1"/>
    <w:rsid w:val="008B7726"/>
    <w:rsid w:val="008D6129"/>
    <w:rsid w:val="00915A3D"/>
    <w:rsid w:val="00917613"/>
    <w:rsid w:val="009C34C6"/>
    <w:rsid w:val="00A60E23"/>
    <w:rsid w:val="00B43181"/>
    <w:rsid w:val="00B77F43"/>
    <w:rsid w:val="00BD7640"/>
    <w:rsid w:val="00C8013B"/>
    <w:rsid w:val="00D21753"/>
    <w:rsid w:val="00D31D50"/>
    <w:rsid w:val="00D52229"/>
    <w:rsid w:val="00D70A8B"/>
    <w:rsid w:val="00E21CCE"/>
    <w:rsid w:val="00E91EA3"/>
    <w:rsid w:val="00EC5410"/>
    <w:rsid w:val="00FF6431"/>
    <w:rsid w:val="01A93785"/>
    <w:rsid w:val="03617D9F"/>
    <w:rsid w:val="041F61A0"/>
    <w:rsid w:val="05A41A81"/>
    <w:rsid w:val="05F03F06"/>
    <w:rsid w:val="06546385"/>
    <w:rsid w:val="0BBC428F"/>
    <w:rsid w:val="0C422604"/>
    <w:rsid w:val="0E2B3309"/>
    <w:rsid w:val="0F5A3D94"/>
    <w:rsid w:val="14DC1C00"/>
    <w:rsid w:val="157A459A"/>
    <w:rsid w:val="15D754F2"/>
    <w:rsid w:val="174B1E2B"/>
    <w:rsid w:val="17644A5C"/>
    <w:rsid w:val="1BB70674"/>
    <w:rsid w:val="1CEE3C78"/>
    <w:rsid w:val="22026E49"/>
    <w:rsid w:val="24D03545"/>
    <w:rsid w:val="28430F0D"/>
    <w:rsid w:val="29DF3ED0"/>
    <w:rsid w:val="2B272216"/>
    <w:rsid w:val="2C802C69"/>
    <w:rsid w:val="2CFB1A36"/>
    <w:rsid w:val="30C10982"/>
    <w:rsid w:val="316D354D"/>
    <w:rsid w:val="33C93367"/>
    <w:rsid w:val="3A7968F3"/>
    <w:rsid w:val="3D022A78"/>
    <w:rsid w:val="41BE71BE"/>
    <w:rsid w:val="42F90C9B"/>
    <w:rsid w:val="43CC2735"/>
    <w:rsid w:val="465B7F8E"/>
    <w:rsid w:val="47DC100E"/>
    <w:rsid w:val="480C068D"/>
    <w:rsid w:val="4A75451F"/>
    <w:rsid w:val="4B71500A"/>
    <w:rsid w:val="4F671D0B"/>
    <w:rsid w:val="50613986"/>
    <w:rsid w:val="51B44401"/>
    <w:rsid w:val="52BA64E7"/>
    <w:rsid w:val="540462D7"/>
    <w:rsid w:val="56004589"/>
    <w:rsid w:val="57224FC3"/>
    <w:rsid w:val="5AB773DF"/>
    <w:rsid w:val="5D7D473C"/>
    <w:rsid w:val="611B371D"/>
    <w:rsid w:val="641F0945"/>
    <w:rsid w:val="649761D5"/>
    <w:rsid w:val="652750A0"/>
    <w:rsid w:val="67BA3F39"/>
    <w:rsid w:val="681511CB"/>
    <w:rsid w:val="684C5135"/>
    <w:rsid w:val="68D64881"/>
    <w:rsid w:val="6C7A208F"/>
    <w:rsid w:val="6DB10452"/>
    <w:rsid w:val="708A1414"/>
    <w:rsid w:val="710366CD"/>
    <w:rsid w:val="72664C8C"/>
    <w:rsid w:val="747225AE"/>
    <w:rsid w:val="74BA40BE"/>
    <w:rsid w:val="74C27F88"/>
    <w:rsid w:val="760A6C79"/>
    <w:rsid w:val="76FD249B"/>
    <w:rsid w:val="7C081059"/>
    <w:rsid w:val="7ECA030E"/>
    <w:rsid w:val="7FF4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100" w:beforeAutospacing="1" w:after="100" w:afterAutospacing="1"/>
    </w:pPr>
    <w:rPr>
      <w:rFonts w:ascii="宋体" w:hAnsi="宋体" w:cs="宋体"/>
      <w:sz w:val="24"/>
    </w:rPr>
  </w:style>
  <w:style w:type="character" w:customStyle="1" w:styleId="7">
    <w:name w:val="页眉 Char"/>
    <w:basedOn w:val="6"/>
    <w:link w:val="3"/>
    <w:semiHidden/>
    <w:qFormat/>
    <w:uiPriority w:val="99"/>
    <w:rPr>
      <w:rFonts w:ascii="Tahoma" w:hAnsi="Tahoma" w:eastAsia="微软雅黑" w:cstheme="minorBidi"/>
      <w:sz w:val="18"/>
      <w:szCs w:val="18"/>
    </w:rPr>
  </w:style>
  <w:style w:type="character" w:customStyle="1" w:styleId="8">
    <w:name w:val="页脚 Char"/>
    <w:basedOn w:val="6"/>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2349</Words>
  <Characters>13392</Characters>
  <Lines>111</Lines>
  <Paragraphs>31</Paragraphs>
  <TotalTime>2</TotalTime>
  <ScaleCrop>false</ScaleCrop>
  <LinksUpToDate>false</LinksUpToDate>
  <CharactersWithSpaces>15710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2019-09-06T02:44:03Z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